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华文中宋" w:hAnsi="华文中宋" w:eastAsia="华文中宋" w:cs="华文中宋"/>
          <w:i w:val="0"/>
          <w:iCs w:val="0"/>
          <w:caps w:val="0"/>
          <w:color w:val="666666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行政执法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666666"/>
          <w:spacing w:val="0"/>
          <w:sz w:val="44"/>
          <w:szCs w:val="44"/>
          <w:shd w:val="clear" w:fill="FFFFFF"/>
          <w:lang w:eastAsia="zh-CN"/>
        </w:rPr>
        <w:t>事项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666666"/>
          <w:spacing w:val="0"/>
          <w:sz w:val="44"/>
          <w:szCs w:val="44"/>
          <w:shd w:val="clear" w:fill="FFFFFF"/>
        </w:rPr>
        <w:t>服务指南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80" w:right="0" w:hanging="280" w:hangingChars="1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（一）事项名称：行政执法事项清单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19" w:leftChars="152" w:right="0" w:firstLine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（二）实施机构：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右玉县文化市场综合行政执法队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（三）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案件来源：日常检查、群众举报、上级交办、其他部门移送等。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（四）收费标准：不收费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（五）执法依据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1、文化：《互联网上网服务营业场所管理条例》、《娱乐场所管理条例》、《娱乐场所管理办法》、《营业性演出管理条例》、《营业性演出管理条例实施细则》、《互联网文化管理暂行规定》、《网络游戏管理暂行办法》、《网络表演经营活动管理办法》、《艺术品经营管理办法》、《社会艺术水平考级管理办法》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 2、文物：《中华人民共和国文物保护法》、《中华人民共和国文物保护法实施条例》、《博物馆条例》。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新闻出版：《出版管理条例》、《印刷业管理条例》、《音像制品管理条例》、《出版物市场管理规定》、《内部资料性出版物管理办法》、《新闻记者证管理办法》、《网络出版服务管理规定》、《新闻单位驻地方机构管理办法（试行）》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4、版权：《中华人民共和国著作权法》、《中华人民共和国著作权法实施条例》、《计算机软件保护条例》、《著作权集体管理条例》、《信息网络传播权保护条例》。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5、广播电视电影：《中华人民共和国电影产业促进法》、《电影管理条例》、《广播电视管理条例》、《广播电视设施保护条例》、《卫星电视广播地面接收设施管理规定》、《广播电视广告播出管理办法》、《专网及定向传播视听节目服务管理规定》、《互联网视听节目服务管理规定》、《外商投资电影院暂行规定》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 6、其他：《无照经营查处取缔办法》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二、机构职能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（一）负责对全县文化娱乐场所（游艺场所、歌舞场所），营业性演出、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术品经营的稽查工作；负责全县文物市场稽查工作。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负责全县图书、报纸、期刊、内部资料、音像制品、电子出版物市场、计算机软件的稽查工作；负责全县印刷、复制、出版物发行活动的稽查工作；负责稽查全县新闻单位、记者站、报刊社驻我县记者站的新闻违法违规活动；负责著作权侵权盗版案件和涉外侵权案件的稽查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（三）负责全县电影单位、制片、发行和放映中的稽查工作；负责违法安装和设置卫星电视广播地面接收设施、接收和传送境外卫星电视节目行为的稽查工作；负责稽查广播电视违法违规播出广告的行为。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负责全县互联网上网服务营业场所的稽查工作；负责全县网络游戏服务的稽查工作；负责全县网络文学、网络书刊和网络游戏出版物的稽查工作；负责全县网络音乐、美术娱乐、网络动漫、网络演出剧（节）目、网络表演业务和手机音乐的稽查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三、办理流程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（一）办理时限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1、一般程序：符合立案条件的，承办人员应在7日内予以立案，案件自立案之日起，应当在60日内办结，经负责人批准，可以延长30日；行政机关作出行政执法决定，依法需要听证、招标、拍卖、检验、检测、检疫、勘验、鉴定、专家评审和公示的，所需时间不计算在规定的期限内。行政机关应当将所需时间书面告知当事人。（期间以时、日、月、年计算；期间开始的时和日，不计算在期间内；期间届满的最后一日是节假日的，以节假日后的第一日为期间届满的日期；期间不包括在途时间。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行政强制：查封、扣押的期限不得超过三十日；情况复杂的，经行政机关负责人批准，可以延长，但是延长期限不得超过三十日；法律、行政法规另有规定的除外；延长查封、扣押的决定应当及时书面告知当事人，并说明理由。对物品需要进行检测、检验、检疫或者技术鉴定的，查封、扣押的期间不包括检测、检验、检疫或者技术鉴定的期间；检测、检验、检疫或者技术鉴定的期间应当明确，并书面告知当事人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（二）一般程序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1、现场检查：2名以上执法人员出示执法证后现场检查，制作《现场检查笔录》；需要证据先行登记保存的，制作《证据登记保存清单》、《证据登记审批表》；需要抽样取证的，制作《抽样取证凭证》；需要查封扣押的，制作《查封（扣押）决定书》；并下达《调查询问通知书》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 2、立案调查：符合立案条件的，承办人员制作《立案审批表》，经承办科室负责人同意后，报法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股审核；法规股向局分管领导提交审核意见，报局领导审批；立案审批通过后，开展调查取证工作；询问当事人，制作《调查询问笔录》；对7日内对登记保存的证据作出处理；需要鉴定的，送交法定部门鉴定；调查收取其他与案件有关的证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 3、调查终结：案件调查终结，承办人员制作《案件调查终结审批表》，经承办科室负责人同意后，报法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股审核；法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股向局分管领导提交审核意见，报局领导审批；对情节复杂或者重大的案件作出责令停业整顿、吊销许可证或者较大数额罚款等行政处罚，集体研究讨论决定；经调查取证，不符合立案条件的，经局领导批准，撤销立案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、事先告知：审批通过后，制作《行政处罚事先告知书》，告知拟作出的处罚决定、事实、依据，享有陈述、申辩的权利；拟作出责令停业整顿、吊销许可证、较大数额罚款等行政处罚决定的，应当告知当事人有听证的权利；当事人3日内提出陈述、申辩或听证的，听取当事人陈述、申辩，并予以复核或进入听证程序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 5、处罚决定：制作《行政处罚决定书》，送达当事人，执行处罚决定；当事人申请行政复议或提起行政诉讼，执行行政复议决定或行政判决书。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 6、结案归档：制作结案报告，案卷装订归档。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（三）简易程序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违法事实确凿并有法定依据，对公民处以五十元以下、对法人或者其他组织处以一千元以下罚款或者警告的行政处罚的，可以当场作出行政处罚决定。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 1、现场检查：2名以上执法人员出示执法证后现场检查，制作《现场检查笔录》。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2、处罚决定：告知当事人拟作出的处罚决定、事实、依据，享有陈述、申辩的权利；填写预定格式、编有号码的《行政处罚决定书》当场送达当事人；执行行政处罚决定，执法人员按期报备；当事人申请行政复议或提起行政诉讼，执行行政复议决定或行政判决书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 3、结案归档：制作结案报告，案卷装订归档。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（四）行政强制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发现涉嫌违法从事出版物出版、印刷或者复制、进口、发行等活动的违法行为。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1、现场检查：2名以上执法人员出示执法证后现场检查，制作《现场检查笔录》，对有证据证明是与违法活动有关的物品，请示分管领导以查封或者扣押。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 2、行政强制审批：执法人员填写《查封（扣押）审批表》，经法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股审核后，报分管领导和局主要负责人审批；情况紧急，需当场查封（扣押）的，执法人员在24小时内向局主要负责人报告，并补办审批手续。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行政强制决定：经局主要负责人批准后，填写预定格式、编有号码的《查封（扣押）决定书》；告知当事人拟作出的查封（扣押）决定、事实、依据，享有陈述、申辩的权利；《查封（扣押）决定书》当场送达当事人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4、行政强制处理决定：查清事实后，在法定期限内作出处理决定；符合《中华人民共和国行政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强制法》28条情形的，及时解除查封扣押。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 5、结案归档：制作结案报告，案卷装订归档。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四、监督方式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县文化市场综合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执法队法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股负责全县文化市场执法的日常督察工作，落实行政执法责任制，对执法错案进行追究；对下级处罚不当和应作为而不作为的进行纠正或直接处理。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五、救济途径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(一)享有权利：陈述申辩权利、听证权利、行政复议权利、行政诉讼权利、国家赔偿权利。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 (二)救济途径：向作出具体行政行为的行政执法部门陈述申辩，申请进行听证；向本级政府提出行政复议；向被告所在地人民法院提出行政诉讼和国家赔偿。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六、联系方式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0349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8067515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办公地址：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右玉县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玉林西街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右玉县文化和旅游局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邮政编码：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037200</w:t>
      </w:r>
    </w:p>
    <w:p/>
    <w:p/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右玉县文化和旅游局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ODljYWU4Njk4NWE3YjA0YWY4NzdkZjc0M2ZhZGMifQ=="/>
  </w:docVars>
  <w:rsids>
    <w:rsidRoot w:val="00000000"/>
    <w:rsid w:val="06FC29FC"/>
    <w:rsid w:val="17672722"/>
    <w:rsid w:val="285811FD"/>
    <w:rsid w:val="4B8852F7"/>
    <w:rsid w:val="56425CEB"/>
    <w:rsid w:val="6BEB1333"/>
    <w:rsid w:val="6C613F7C"/>
    <w:rsid w:val="7103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3030</Words>
  <Characters>3079</Characters>
  <Lines>0</Lines>
  <Paragraphs>0</Paragraphs>
  <TotalTime>23</TotalTime>
  <ScaleCrop>false</ScaleCrop>
  <LinksUpToDate>false</LinksUpToDate>
  <CharactersWithSpaces>3149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张xq</cp:lastModifiedBy>
  <cp:lastPrinted>2021-12-13T07:00:00Z</cp:lastPrinted>
  <dcterms:modified xsi:type="dcterms:W3CDTF">2023-05-25T03:48:57Z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7B6A5BD780F448FD9492EFF03B96C0EA</vt:lpwstr>
  </property>
</Properties>
</file>