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282"/>
        <w:gridCol w:w="1284"/>
        <w:gridCol w:w="2078"/>
        <w:gridCol w:w="2631"/>
        <w:gridCol w:w="1286"/>
        <w:gridCol w:w="1158"/>
        <w:gridCol w:w="1435"/>
        <w:gridCol w:w="1422"/>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1282" w:type="dxa"/>
            <w:noWrap w:val="0"/>
            <w:vAlign w:val="center"/>
          </w:tcPr>
          <w:p>
            <w:pPr>
              <w:kinsoku/>
              <w:autoSpaceDE/>
              <w:autoSpaceDN w:val="0"/>
              <w:jc w:val="left"/>
              <w:textAlignment w:val="center"/>
              <w:rPr>
                <w:rFonts w:hint="default" w:ascii="黑体" w:hAnsi="黑体" w:eastAsia="黑体"/>
                <w:b w:val="0"/>
                <w:i w:val="0"/>
                <w:snapToGrid/>
                <w:color w:val="000000"/>
                <w:sz w:val="32"/>
                <w:u w:val="none"/>
                <w:lang w:eastAsia="zh-CN"/>
              </w:rPr>
            </w:pPr>
          </w:p>
        </w:tc>
        <w:tc>
          <w:tcPr>
            <w:tcW w:w="1284"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078"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631"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286"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158"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35"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22"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53" w:type="dxa"/>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60" w:hRule="atLeast"/>
        </w:trPr>
        <w:tc>
          <w:tcPr>
            <w:tcW w:w="14029" w:type="dxa"/>
            <w:gridSpan w:val="9"/>
            <w:noWrap w:val="0"/>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default" w:ascii="宋体" w:hAnsi="宋体" w:eastAsia="宋体"/>
                <w:b/>
                <w:i w:val="0"/>
                <w:snapToGrid/>
                <w:color w:val="000000"/>
                <w:sz w:val="48"/>
                <w:u w:val="none"/>
                <w:lang w:eastAsia="zh-CN"/>
              </w:rPr>
              <w:t>随机抽查事项清单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抽查事项</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检查依据</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检查内容</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检查方式</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适用对象</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抽查比例</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抽查频次</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40"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eastAsia"/>
                <w:sz w:val="21"/>
                <w:szCs w:val="21"/>
                <w:vertAlign w:val="baseline"/>
                <w:lang w:val="en-US" w:eastAsia="zh-CN"/>
              </w:rPr>
              <w:t>对公证机构和公证员执业监督检查</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sz w:val="21"/>
                <w:szCs w:val="21"/>
                <w:vertAlign w:val="baseline"/>
                <w:lang w:val="en-US" w:eastAsia="zh-CN"/>
              </w:rPr>
            </w:pPr>
            <w:r>
              <w:rPr>
                <w:rFonts w:hint="default"/>
                <w:sz w:val="21"/>
                <w:szCs w:val="21"/>
                <w:vertAlign w:val="baseline"/>
                <w:lang w:val="en-US" w:eastAsia="zh-CN"/>
              </w:rPr>
              <w:t>《公证机构执业管理办法》（2006年中华人民共和国司法部令第101号）第四章第二十六条</w:t>
            </w:r>
            <w:r>
              <w:rPr>
                <w:rFonts w:hint="eastAsia"/>
                <w:sz w:val="21"/>
                <w:szCs w:val="21"/>
                <w:vertAlign w:val="baseline"/>
                <w:lang w:val="en-US" w:eastAsia="zh-CN"/>
              </w:rPr>
              <w:t>；《公证员执业管理办法》（2006年中华人民共和国司法部令第102号）第五章第二十一条、第二十六条</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①组织建设情况；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②执业活动情况；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③公证质量情况；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④公证员执业年度考核情况；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⑤档案管理情况；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⑥内部管理制度建设情况；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⑦财务制度执行情况；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⑧对公证员办理公证业务情况进行检查，并向相关单位和人员调查、核实有关情况。</w:t>
            </w:r>
          </w:p>
          <w:p>
            <w:pPr>
              <w:jc w:val="both"/>
              <w:rPr>
                <w:rFonts w:hint="default"/>
                <w:sz w:val="21"/>
                <w:szCs w:val="21"/>
                <w:vertAlign w:val="baseline"/>
                <w:lang w:val="en-US" w:eastAsia="zh-CN"/>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eastAsia"/>
                <w:sz w:val="21"/>
                <w:szCs w:val="21"/>
                <w:vertAlign w:val="baseline"/>
                <w:lang w:val="en-US" w:eastAsia="zh-CN"/>
              </w:rPr>
              <w:t>现场检查、听取汇报、提交工作总结</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sz w:val="21"/>
                <w:szCs w:val="21"/>
                <w:vertAlign w:val="baseline"/>
                <w:lang w:val="en-US" w:eastAsia="zh-CN"/>
              </w:rPr>
            </w:pPr>
            <w:r>
              <w:rPr>
                <w:rFonts w:hint="eastAsia"/>
                <w:sz w:val="21"/>
                <w:szCs w:val="21"/>
                <w:vertAlign w:val="baseline"/>
                <w:lang w:val="en-US" w:eastAsia="zh-CN"/>
              </w:rPr>
              <w:t>公证处</w:t>
            </w:r>
          </w:p>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sz w:val="21"/>
                <w:szCs w:val="21"/>
                <w:vertAlign w:val="baseline"/>
                <w:lang w:val="en-US" w:eastAsia="zh-CN"/>
              </w:rPr>
              <w:t>公证员</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440" w:firstLineChars="200"/>
              <w:jc w:val="left"/>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100%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不少于2次</w:t>
            </w:r>
            <w:r>
              <w:rPr>
                <w:rFonts w:hint="default" w:ascii="宋体" w:hAnsi="宋体"/>
                <w:b w:val="0"/>
                <w:i w:val="0"/>
                <w:snapToGrid/>
                <w:color w:val="000000"/>
                <w:sz w:val="22"/>
                <w:u w:val="none"/>
                <w:lang w:val="en-US" w:eastAsia="zh-CN"/>
              </w:rPr>
              <w:t>/</w:t>
            </w:r>
            <w:r>
              <w:rPr>
                <w:rFonts w:hint="eastAsia" w:ascii="宋体" w:hAnsi="宋体"/>
                <w:b w:val="0"/>
                <w:i w:val="0"/>
                <w:snapToGrid/>
                <w:color w:val="000000"/>
                <w:sz w:val="22"/>
                <w:u w:val="none"/>
                <w:lang w:val="en-US" w:eastAsia="zh-CN"/>
              </w:rPr>
              <w:t>年</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47"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2</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sz w:val="21"/>
                <w:szCs w:val="21"/>
                <w:vertAlign w:val="baseline"/>
                <w:lang w:val="en-US" w:eastAsia="zh-CN"/>
              </w:rPr>
            </w:pPr>
            <w:r>
              <w:rPr>
                <w:rFonts w:hint="eastAsia"/>
                <w:sz w:val="21"/>
                <w:szCs w:val="21"/>
                <w:vertAlign w:val="baseline"/>
                <w:lang w:val="en-US" w:eastAsia="zh-CN"/>
              </w:rPr>
              <w:t>对律师和律师事务所执业活动实施日常监督管理</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sz w:val="21"/>
                <w:szCs w:val="21"/>
                <w:vertAlign w:val="baseline"/>
                <w:lang w:val="en-US" w:eastAsia="zh-CN"/>
              </w:rPr>
            </w:pPr>
            <w:r>
              <w:rPr>
                <w:rFonts w:hint="default"/>
                <w:sz w:val="21"/>
                <w:szCs w:val="21"/>
                <w:vertAlign w:val="baseline"/>
                <w:lang w:val="en-US" w:eastAsia="zh-CN"/>
              </w:rPr>
              <w:t xml:space="preserve"> 《中华人民共和国律师法》第一章第四条</w:t>
            </w:r>
            <w:r>
              <w:rPr>
                <w:rFonts w:hint="eastAsia"/>
                <w:sz w:val="21"/>
                <w:szCs w:val="21"/>
                <w:vertAlign w:val="baseline"/>
                <w:lang w:val="en-US" w:eastAsia="zh-CN"/>
              </w:rPr>
              <w:t>、第六章第五十二条</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①监督律师事务所在开展业务活动过程中遵守法律、法规、规章的情况；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②监督律师事务所执业和内部管理制度的建立和实施情况；</w:t>
            </w:r>
          </w:p>
          <w:p>
            <w:pPr>
              <w:jc w:val="both"/>
              <w:rPr>
                <w:rFonts w:hint="eastAsia"/>
                <w:sz w:val="21"/>
                <w:szCs w:val="21"/>
                <w:vertAlign w:val="baseline"/>
                <w:lang w:val="en-US" w:eastAsia="zh-CN"/>
              </w:rPr>
            </w:pPr>
            <w:r>
              <w:rPr>
                <w:rFonts w:hint="eastAsia"/>
                <w:sz w:val="21"/>
                <w:szCs w:val="21"/>
                <w:vertAlign w:val="baseline"/>
                <w:lang w:val="en-US" w:eastAsia="zh-CN"/>
              </w:rPr>
              <w:t xml:space="preserve">  </w:t>
            </w:r>
            <w:r>
              <w:rPr>
                <w:rFonts w:hint="default"/>
                <w:sz w:val="21"/>
                <w:szCs w:val="21"/>
                <w:vertAlign w:val="baseline"/>
                <w:lang w:val="en-US" w:eastAsia="zh-CN"/>
              </w:rPr>
              <w:t xml:space="preserve">  </w:t>
            </w:r>
            <w:r>
              <w:rPr>
                <w:rFonts w:hint="eastAsia"/>
                <w:sz w:val="21"/>
                <w:szCs w:val="21"/>
                <w:vertAlign w:val="baseline"/>
                <w:lang w:val="en-US" w:eastAsia="zh-CN"/>
              </w:rPr>
              <w:t>③监督律师事务所保持法定设立条件以及变更报批或者备案的执行情况；</w:t>
            </w:r>
          </w:p>
          <w:p>
            <w:pPr>
              <w:jc w:val="both"/>
              <w:rPr>
                <w:rFonts w:hint="eastAsia"/>
                <w:sz w:val="21"/>
                <w:szCs w:val="21"/>
                <w:vertAlign w:val="baseline"/>
                <w:lang w:val="en-US" w:eastAsia="zh-CN"/>
              </w:rPr>
            </w:pPr>
            <w:r>
              <w:rPr>
                <w:rFonts w:hint="eastAsia"/>
                <w:sz w:val="21"/>
                <w:szCs w:val="21"/>
                <w:vertAlign w:val="baseline"/>
                <w:lang w:val="en-US" w:eastAsia="zh-CN"/>
              </w:rPr>
              <w:t xml:space="preserve">  </w:t>
            </w:r>
            <w:r>
              <w:rPr>
                <w:rFonts w:hint="default"/>
                <w:sz w:val="21"/>
                <w:szCs w:val="21"/>
                <w:vertAlign w:val="baseline"/>
                <w:lang w:val="en-US" w:eastAsia="zh-CN"/>
              </w:rPr>
              <w:t xml:space="preserve">  </w:t>
            </w:r>
            <w:r>
              <w:rPr>
                <w:rFonts w:hint="eastAsia"/>
                <w:sz w:val="21"/>
                <w:szCs w:val="21"/>
                <w:vertAlign w:val="baseline"/>
                <w:lang w:val="en-US" w:eastAsia="zh-CN"/>
              </w:rPr>
              <w:t>④监督律师事务所进行清算、申请注销的情况；</w:t>
            </w:r>
          </w:p>
          <w:p>
            <w:pPr>
              <w:jc w:val="both"/>
              <w:rPr>
                <w:rFonts w:hint="eastAsia"/>
                <w:sz w:val="21"/>
                <w:szCs w:val="21"/>
                <w:vertAlign w:val="baseline"/>
                <w:lang w:val="en-US" w:eastAsia="zh-CN"/>
              </w:rPr>
            </w:pPr>
            <w:r>
              <w:rPr>
                <w:rFonts w:hint="eastAsia"/>
                <w:sz w:val="21"/>
                <w:szCs w:val="21"/>
                <w:vertAlign w:val="baseline"/>
                <w:lang w:val="en-US" w:eastAsia="zh-CN"/>
              </w:rPr>
              <w:t xml:space="preserve">  </w:t>
            </w:r>
            <w:r>
              <w:rPr>
                <w:rFonts w:hint="default"/>
                <w:sz w:val="21"/>
                <w:szCs w:val="21"/>
                <w:vertAlign w:val="baseline"/>
                <w:lang w:val="en-US" w:eastAsia="zh-CN"/>
              </w:rPr>
              <w:t xml:space="preserve">  </w:t>
            </w:r>
            <w:r>
              <w:rPr>
                <w:rFonts w:hint="eastAsia"/>
                <w:sz w:val="21"/>
                <w:szCs w:val="21"/>
                <w:vertAlign w:val="baseline"/>
                <w:lang w:val="en-US" w:eastAsia="zh-CN"/>
              </w:rPr>
              <w:t>⑤监督律师事务所开展律师执业年度考核和上报年度执业总结的情况；</w:t>
            </w:r>
          </w:p>
          <w:p>
            <w:pPr>
              <w:jc w:val="both"/>
              <w:rPr>
                <w:rFonts w:hint="eastAsia"/>
                <w:sz w:val="21"/>
                <w:szCs w:val="21"/>
                <w:vertAlign w:val="baseline"/>
                <w:lang w:val="en-US" w:eastAsia="zh-CN"/>
              </w:rPr>
            </w:pPr>
            <w:r>
              <w:rPr>
                <w:rFonts w:hint="eastAsia"/>
                <w:sz w:val="21"/>
                <w:szCs w:val="21"/>
                <w:vertAlign w:val="baseline"/>
                <w:lang w:val="en-US" w:eastAsia="zh-CN"/>
              </w:rPr>
              <w:t xml:space="preserve">  </w:t>
            </w:r>
            <w:r>
              <w:rPr>
                <w:rFonts w:hint="default"/>
                <w:sz w:val="21"/>
                <w:szCs w:val="21"/>
                <w:vertAlign w:val="baseline"/>
                <w:lang w:val="en-US" w:eastAsia="zh-CN"/>
              </w:rPr>
              <w:t xml:space="preserve">  </w:t>
            </w:r>
            <w:r>
              <w:rPr>
                <w:rFonts w:hint="eastAsia"/>
                <w:sz w:val="21"/>
                <w:szCs w:val="21"/>
                <w:vertAlign w:val="baseline"/>
                <w:lang w:val="en-US" w:eastAsia="zh-CN"/>
              </w:rPr>
              <w:t>⑥受理对律师事务所的举报和投诉；</w:t>
            </w:r>
          </w:p>
          <w:p>
            <w:pPr>
              <w:jc w:val="both"/>
              <w:rPr>
                <w:rFonts w:hint="eastAsia"/>
                <w:sz w:val="21"/>
                <w:szCs w:val="21"/>
                <w:vertAlign w:val="baseline"/>
                <w:lang w:val="en-US" w:eastAsia="zh-CN"/>
              </w:rPr>
            </w:pPr>
            <w:r>
              <w:rPr>
                <w:rFonts w:hint="eastAsia"/>
                <w:sz w:val="21"/>
                <w:szCs w:val="21"/>
                <w:vertAlign w:val="baseline"/>
                <w:lang w:val="en-US" w:eastAsia="zh-CN"/>
              </w:rPr>
              <w:t xml:space="preserve">  </w:t>
            </w:r>
            <w:r>
              <w:rPr>
                <w:rFonts w:hint="default"/>
                <w:sz w:val="21"/>
                <w:szCs w:val="21"/>
                <w:vertAlign w:val="baseline"/>
                <w:lang w:val="en-US" w:eastAsia="zh-CN"/>
              </w:rPr>
              <w:t xml:space="preserve">  </w:t>
            </w:r>
            <w:r>
              <w:rPr>
                <w:rFonts w:hint="eastAsia"/>
                <w:sz w:val="21"/>
                <w:szCs w:val="21"/>
                <w:vertAlign w:val="baseline"/>
                <w:lang w:val="en-US" w:eastAsia="zh-CN"/>
              </w:rPr>
              <w:t>⑦监督律师事务所履行行政处罚和实行整改的情况；</w:t>
            </w:r>
          </w:p>
          <w:p>
            <w:pPr>
              <w:jc w:val="both"/>
              <w:rPr>
                <w:rFonts w:hint="eastAsia"/>
                <w:sz w:val="21"/>
                <w:szCs w:val="21"/>
                <w:vertAlign w:val="baseline"/>
                <w:lang w:val="en-US" w:eastAsia="zh-CN"/>
              </w:rPr>
            </w:pPr>
            <w:r>
              <w:rPr>
                <w:rFonts w:hint="eastAsia"/>
                <w:sz w:val="21"/>
                <w:szCs w:val="21"/>
                <w:vertAlign w:val="baseline"/>
                <w:lang w:val="en-US" w:eastAsia="zh-CN"/>
              </w:rPr>
              <w:t xml:space="preserve">  </w:t>
            </w:r>
            <w:r>
              <w:rPr>
                <w:rFonts w:hint="default"/>
                <w:sz w:val="21"/>
                <w:szCs w:val="21"/>
                <w:vertAlign w:val="baseline"/>
                <w:lang w:val="en-US" w:eastAsia="zh-CN"/>
              </w:rPr>
              <w:t xml:space="preserve">  </w:t>
            </w:r>
            <w:r>
              <w:rPr>
                <w:rFonts w:hint="eastAsia"/>
                <w:sz w:val="21"/>
                <w:szCs w:val="21"/>
                <w:vertAlign w:val="baseline"/>
                <w:lang w:val="en-US" w:eastAsia="zh-CN"/>
              </w:rPr>
              <w:t>⑧司法行政机关规定的其他职责。</w:t>
            </w:r>
          </w:p>
          <w:p>
            <w:pPr>
              <w:jc w:val="both"/>
              <w:rPr>
                <w:rFonts w:hint="default"/>
                <w:sz w:val="21"/>
                <w:szCs w:val="21"/>
                <w:vertAlign w:val="baseline"/>
                <w:lang w:val="en-US" w:eastAsia="zh-CN"/>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sz w:val="21"/>
                <w:szCs w:val="21"/>
                <w:vertAlign w:val="baseline"/>
                <w:lang w:val="en-US" w:eastAsia="zh-CN"/>
              </w:rPr>
            </w:pPr>
            <w:r>
              <w:rPr>
                <w:rFonts w:hint="eastAsia"/>
                <w:sz w:val="21"/>
                <w:szCs w:val="21"/>
                <w:vertAlign w:val="baseline"/>
                <w:lang w:val="en-US" w:eastAsia="zh-CN"/>
              </w:rPr>
              <w:t>现场检查、听取汇报、提交工作总结</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b w:val="0"/>
                <w:i w:val="0"/>
                <w:snapToGrid/>
                <w:color w:val="000000"/>
                <w:sz w:val="22"/>
                <w:u w:val="none"/>
                <w:lang w:eastAsia="zh-CN"/>
              </w:rPr>
            </w:pPr>
            <w:r>
              <w:rPr>
                <w:rFonts w:hint="eastAsia" w:ascii="宋体" w:hAnsi="宋体"/>
                <w:b w:val="0"/>
                <w:i w:val="0"/>
                <w:snapToGrid/>
                <w:color w:val="000000"/>
                <w:sz w:val="22"/>
                <w:u w:val="none"/>
                <w:lang w:eastAsia="zh-CN"/>
              </w:rPr>
              <w:t>律师</w:t>
            </w:r>
          </w:p>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律师事务所</w:t>
            </w:r>
          </w:p>
        </w:tc>
        <w:tc>
          <w:tcPr>
            <w:tcW w:w="1435" w:type="dxa"/>
            <w:tcBorders>
              <w:top w:val="single" w:color="000000" w:sz="4" w:space="0"/>
              <w:left w:val="single" w:color="000000" w:sz="4" w:space="0"/>
              <w:bottom w:val="single" w:color="auto"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100%</w:t>
            </w:r>
          </w:p>
        </w:tc>
        <w:tc>
          <w:tcPr>
            <w:tcW w:w="1422" w:type="dxa"/>
            <w:tcBorders>
              <w:top w:val="single" w:color="000000" w:sz="4" w:space="0"/>
              <w:left w:val="single" w:color="000000" w:sz="4" w:space="0"/>
              <w:bottom w:val="single" w:color="auto" w:sz="4" w:space="0"/>
              <w:right w:val="single" w:color="000000" w:sz="4" w:space="0"/>
            </w:tcBorders>
            <w:noWrap w:val="0"/>
            <w:vAlign w:val="center"/>
          </w:tcPr>
          <w:p>
            <w:pPr>
              <w:kinsoku/>
              <w:autoSpaceDE/>
              <w:autoSpaceDN w:val="0"/>
              <w:jc w:val="center"/>
              <w:textAlignment w:val="center"/>
              <w:rPr>
                <w:rFonts w:hint="eastAsia" w:ascii="Calibri"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不少于2次</w:t>
            </w:r>
            <w:r>
              <w:rPr>
                <w:rFonts w:hint="default" w:ascii="宋体" w:hAnsi="宋体"/>
                <w:b w:val="0"/>
                <w:i w:val="0"/>
                <w:snapToGrid/>
                <w:color w:val="000000"/>
                <w:sz w:val="22"/>
                <w:u w:val="none"/>
                <w:lang w:val="en-US" w:eastAsia="zh-CN"/>
              </w:rPr>
              <w:t>/</w:t>
            </w:r>
            <w:r>
              <w:rPr>
                <w:rFonts w:hint="eastAsia" w:ascii="宋体" w:hAnsi="宋体"/>
                <w:b w:val="0"/>
                <w:i w:val="0"/>
                <w:snapToGrid/>
                <w:color w:val="000000"/>
                <w:sz w:val="22"/>
                <w:u w:val="none"/>
                <w:lang w:val="en-US" w:eastAsia="zh-CN"/>
              </w:rPr>
              <w:t>年</w:t>
            </w:r>
          </w:p>
        </w:tc>
        <w:tc>
          <w:tcPr>
            <w:tcW w:w="1453" w:type="dxa"/>
            <w:tcBorders>
              <w:top w:val="single" w:color="000000" w:sz="4" w:space="0"/>
              <w:left w:val="single" w:color="000000" w:sz="4" w:space="0"/>
              <w:bottom w:val="single" w:color="auto"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1"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3</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sz w:val="21"/>
                <w:szCs w:val="21"/>
                <w:vertAlign w:val="baseline"/>
                <w:lang w:val="en-US" w:eastAsia="zh-CN"/>
              </w:rPr>
            </w:pPr>
            <w:r>
              <w:rPr>
                <w:rFonts w:hint="default"/>
                <w:sz w:val="21"/>
                <w:szCs w:val="21"/>
                <w:vertAlign w:val="baseline"/>
                <w:lang w:val="en-US" w:eastAsia="zh-CN"/>
              </w:rPr>
              <w:t>对法律援助工作的监督检查</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sz w:val="21"/>
                <w:szCs w:val="21"/>
                <w:vertAlign w:val="baseline"/>
                <w:lang w:val="en-US" w:eastAsia="zh-CN"/>
              </w:rPr>
            </w:pPr>
            <w:r>
              <w:rPr>
                <w:rFonts w:hint="default"/>
                <w:sz w:val="21"/>
                <w:szCs w:val="21"/>
                <w:vertAlign w:val="baseline"/>
                <w:lang w:val="en-US" w:eastAsia="zh-CN"/>
              </w:rPr>
              <w:t>《</w:t>
            </w:r>
            <w:r>
              <w:rPr>
                <w:rFonts w:hint="eastAsia"/>
                <w:sz w:val="21"/>
                <w:szCs w:val="21"/>
                <w:vertAlign w:val="baseline"/>
                <w:lang w:val="en-US" w:eastAsia="zh-CN"/>
              </w:rPr>
              <w:t>中华人民共和国</w:t>
            </w:r>
            <w:r>
              <w:rPr>
                <w:rFonts w:hint="default"/>
                <w:sz w:val="21"/>
                <w:szCs w:val="21"/>
                <w:vertAlign w:val="baseline"/>
                <w:lang w:val="en-US" w:eastAsia="zh-CN"/>
              </w:rPr>
              <w:t>法律援助</w:t>
            </w:r>
            <w:r>
              <w:rPr>
                <w:rFonts w:hint="eastAsia"/>
                <w:sz w:val="21"/>
                <w:szCs w:val="21"/>
                <w:vertAlign w:val="baseline"/>
                <w:lang w:val="en-US" w:eastAsia="zh-CN"/>
              </w:rPr>
              <w:t>法</w:t>
            </w:r>
            <w:r>
              <w:rPr>
                <w:rFonts w:hint="default"/>
                <w:sz w:val="21"/>
                <w:szCs w:val="21"/>
                <w:vertAlign w:val="baseline"/>
                <w:lang w:val="en-US" w:eastAsia="zh-CN"/>
              </w:rPr>
              <w:t xml:space="preserve">》 </w:t>
            </w:r>
            <w:r>
              <w:rPr>
                <w:rFonts w:hint="eastAsia"/>
                <w:sz w:val="21"/>
                <w:szCs w:val="21"/>
                <w:vertAlign w:val="baseline"/>
                <w:lang w:val="en-US" w:eastAsia="zh-CN"/>
              </w:rPr>
              <w:t>第五十七条、第五十八条</w:t>
            </w:r>
          </w:p>
          <w:p>
            <w:pPr>
              <w:jc w:val="both"/>
              <w:rPr>
                <w:rFonts w:hint="default"/>
                <w:sz w:val="21"/>
                <w:szCs w:val="21"/>
                <w:vertAlign w:val="baseline"/>
                <w:lang w:val="en-US" w:eastAsia="zh-CN"/>
              </w:rPr>
            </w:pPr>
            <w:r>
              <w:rPr>
                <w:rFonts w:hint="default"/>
                <w:sz w:val="21"/>
                <w:szCs w:val="21"/>
                <w:vertAlign w:val="baseline"/>
                <w:lang w:val="en-US" w:eastAsia="zh-CN"/>
              </w:rPr>
              <w:t>《山西省法律援助条例》（2016年）</w:t>
            </w:r>
            <w:r>
              <w:rPr>
                <w:rFonts w:hint="eastAsia"/>
                <w:sz w:val="21"/>
                <w:szCs w:val="21"/>
                <w:vertAlign w:val="baseline"/>
                <w:lang w:val="en-US" w:eastAsia="zh-CN"/>
              </w:rPr>
              <w:t>第一章第四条</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①在岗情况；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②案件办理情况；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 xml:space="preserve">③案卷整理情况     </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 xml:space="preserve">④内部管理制度建设执行情况；     </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⑤财务制度执行情况；</w:t>
            </w:r>
          </w:p>
          <w:p>
            <w:pPr>
              <w:ind w:firstLine="420" w:firstLineChars="200"/>
              <w:jc w:val="both"/>
              <w:rPr>
                <w:rFonts w:hint="eastAsia"/>
                <w:sz w:val="21"/>
                <w:szCs w:val="21"/>
                <w:vertAlign w:val="baseline"/>
                <w:lang w:val="en-US" w:eastAsia="zh-CN"/>
              </w:rPr>
            </w:pPr>
            <w:r>
              <w:rPr>
                <w:rFonts w:hint="eastAsia"/>
                <w:sz w:val="21"/>
                <w:szCs w:val="21"/>
                <w:vertAlign w:val="baseline"/>
                <w:lang w:val="en-US" w:eastAsia="zh-CN"/>
              </w:rPr>
              <w:t>⑥对办理案件情况进行检查，并向相关责任人核实有关情况。</w:t>
            </w:r>
          </w:p>
          <w:p>
            <w:pPr>
              <w:jc w:val="both"/>
              <w:rPr>
                <w:rFonts w:hint="default"/>
                <w:sz w:val="21"/>
                <w:szCs w:val="21"/>
                <w:vertAlign w:val="baseline"/>
                <w:lang w:val="en-US" w:eastAsia="zh-CN"/>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bookmarkStart w:id="0" w:name="_GoBack"/>
            <w:r>
              <w:rPr>
                <w:rFonts w:hint="eastAsia" w:ascii="宋体" w:hAnsi="宋体"/>
                <w:b w:val="0"/>
                <w:i w:val="0"/>
                <w:snapToGrid/>
                <w:color w:val="000000"/>
                <w:sz w:val="22"/>
                <w:u w:val="none"/>
                <w:lang w:eastAsia="zh-CN"/>
              </w:rPr>
              <w:t>现场检查、听取汇报、提交工作总结</w:t>
            </w:r>
            <w:bookmarkEnd w:id="0"/>
          </w:p>
        </w:tc>
        <w:tc>
          <w:tcPr>
            <w:tcW w:w="1158" w:type="dxa"/>
            <w:tcBorders>
              <w:top w:val="single" w:color="000000" w:sz="4" w:space="0"/>
              <w:left w:val="single" w:color="000000" w:sz="4" w:space="0"/>
              <w:bottom w:val="single" w:color="000000" w:sz="4" w:space="0"/>
              <w:right w:val="single" w:color="auto" w:sz="4" w:space="0"/>
            </w:tcBorders>
            <w:noWrap w:val="0"/>
            <w:vAlign w:val="center"/>
          </w:tcPr>
          <w:p>
            <w:pPr>
              <w:kinsoku/>
              <w:autoSpaceDE/>
              <w:autoSpaceDN w:val="0"/>
              <w:jc w:val="center"/>
              <w:textAlignment w:val="center"/>
              <w:rPr>
                <w:rFonts w:hint="eastAsia" w:ascii="宋体" w:hAnsi="宋体"/>
                <w:b w:val="0"/>
                <w:i w:val="0"/>
                <w:snapToGrid/>
                <w:color w:val="000000"/>
                <w:sz w:val="22"/>
                <w:u w:val="none"/>
                <w:lang w:eastAsia="zh-CN"/>
              </w:rPr>
            </w:pPr>
            <w:r>
              <w:rPr>
                <w:rFonts w:hint="eastAsia" w:ascii="宋体" w:hAnsi="宋体"/>
                <w:b w:val="0"/>
                <w:i w:val="0"/>
                <w:snapToGrid/>
                <w:color w:val="000000"/>
                <w:sz w:val="22"/>
                <w:u w:val="none"/>
                <w:lang w:eastAsia="zh-CN"/>
              </w:rPr>
              <w:t>法律援</w:t>
            </w:r>
          </w:p>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助机构</w:t>
            </w:r>
          </w:p>
        </w:tc>
        <w:tc>
          <w:tcPr>
            <w:tcW w:w="1435" w:type="dxa"/>
            <w:tcBorders>
              <w:top w:val="single" w:color="auto" w:sz="4" w:space="0"/>
              <w:left w:val="single" w:color="auto" w:sz="4" w:space="0"/>
              <w:bottom w:val="single" w:color="auto" w:sz="4" w:space="0"/>
            </w:tcBorders>
            <w:noWrap w:val="0"/>
            <w:vAlign w:val="center"/>
          </w:tcPr>
          <w:p>
            <w:pPr>
              <w:kinsoku/>
              <w:autoSpaceDE/>
              <w:autoSpaceDN w:val="0"/>
              <w:jc w:val="center"/>
              <w:textAlignment w:val="center"/>
              <w:rPr>
                <w:rFonts w:hint="default" w:ascii="宋体" w:hAnsi="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100%</w:t>
            </w:r>
          </w:p>
        </w:tc>
        <w:tc>
          <w:tcPr>
            <w:tcW w:w="1422" w:type="dxa"/>
            <w:tcBorders>
              <w:top w:val="single" w:color="auto" w:sz="4" w:space="0"/>
              <w:left w:val="single" w:color="000000" w:sz="4" w:space="0"/>
              <w:bottom w:val="single" w:color="auto" w:sz="4" w:space="0"/>
            </w:tcBorders>
            <w:noWrap w:val="0"/>
            <w:vAlign w:val="center"/>
          </w:tcPr>
          <w:p>
            <w:pPr>
              <w:kinsoku/>
              <w:autoSpaceDE/>
              <w:autoSpaceDN w:val="0"/>
              <w:jc w:val="center"/>
              <w:textAlignment w:val="center"/>
              <w:rPr>
                <w:rFonts w:hint="default" w:ascii="宋体" w:hAnsi="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不少于2次</w:t>
            </w:r>
            <w:r>
              <w:rPr>
                <w:rFonts w:hint="default" w:ascii="宋体" w:hAnsi="宋体"/>
                <w:b w:val="0"/>
                <w:i w:val="0"/>
                <w:snapToGrid/>
                <w:color w:val="000000"/>
                <w:sz w:val="22"/>
                <w:u w:val="none"/>
                <w:lang w:val="en-US" w:eastAsia="zh-CN"/>
              </w:rPr>
              <w:t>/</w:t>
            </w:r>
            <w:r>
              <w:rPr>
                <w:rFonts w:hint="eastAsia" w:ascii="宋体" w:hAnsi="宋体"/>
                <w:b w:val="0"/>
                <w:i w:val="0"/>
                <w:snapToGrid/>
                <w:color w:val="000000"/>
                <w:sz w:val="22"/>
                <w:u w:val="none"/>
                <w:lang w:val="en-US" w:eastAsia="zh-CN"/>
              </w:rPr>
              <w:t>年</w:t>
            </w:r>
          </w:p>
        </w:tc>
        <w:tc>
          <w:tcPr>
            <w:tcW w:w="1453" w:type="dxa"/>
            <w:tcBorders>
              <w:top w:val="single" w:color="auto" w:sz="4" w:space="0"/>
              <w:left w:val="single" w:color="000000"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b w:val="0"/>
                <w:i w:val="0"/>
                <w:snapToGrid/>
                <w:color w:val="000000"/>
                <w:sz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846"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4</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sz w:val="21"/>
                <w:szCs w:val="21"/>
                <w:vertAlign w:val="baseline"/>
                <w:lang w:val="en-US" w:eastAsia="zh-CN"/>
              </w:rPr>
            </w:pPr>
            <w:r>
              <w:rPr>
                <w:rFonts w:hint="default"/>
                <w:sz w:val="21"/>
                <w:szCs w:val="21"/>
                <w:vertAlign w:val="baseline"/>
                <w:lang w:val="en-US" w:eastAsia="zh-CN"/>
              </w:rPr>
              <w:t>对基层法律服务所年度检查</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sz w:val="21"/>
                <w:szCs w:val="21"/>
                <w:vertAlign w:val="baseline"/>
                <w:lang w:val="en-US" w:eastAsia="zh-CN"/>
              </w:rPr>
            </w:pPr>
            <w:r>
              <w:rPr>
                <w:rFonts w:hint="default"/>
                <w:sz w:val="21"/>
                <w:szCs w:val="21"/>
                <w:vertAlign w:val="baseline"/>
                <w:lang w:val="en-US" w:eastAsia="zh-CN"/>
              </w:rPr>
              <w:t>《基层法律服务所管理办法》（2000年中华人民共和国司法部令第59号，2017年12月25日司法部令第137号修订）</w:t>
            </w:r>
            <w:r>
              <w:rPr>
                <w:rFonts w:hint="eastAsia"/>
                <w:sz w:val="21"/>
                <w:szCs w:val="21"/>
                <w:vertAlign w:val="baseline"/>
                <w:lang w:val="en-US" w:eastAsia="zh-CN"/>
              </w:rPr>
              <w:t>第四章第二十九条</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left"/>
              <w:rPr>
                <w:rFonts w:hint="default"/>
                <w:sz w:val="21"/>
                <w:szCs w:val="21"/>
                <w:vertAlign w:val="baseline"/>
                <w:lang w:val="en-US" w:eastAsia="zh-CN"/>
              </w:rPr>
            </w:pPr>
            <w:r>
              <w:rPr>
                <w:rFonts w:hint="eastAsia"/>
                <w:sz w:val="21"/>
                <w:szCs w:val="21"/>
                <w:vertAlign w:val="baseline"/>
                <w:lang w:val="en-US" w:eastAsia="zh-CN"/>
              </w:rPr>
              <w:t>①案件办理情况</w:t>
            </w:r>
            <w:r>
              <w:rPr>
                <w:rFonts w:hint="default"/>
                <w:sz w:val="21"/>
                <w:szCs w:val="21"/>
                <w:vertAlign w:val="baseline"/>
                <w:lang w:val="en-US" w:eastAsia="zh-CN"/>
              </w:rPr>
              <w:t>；</w:t>
            </w:r>
          </w:p>
          <w:p>
            <w:pPr>
              <w:ind w:firstLine="420" w:firstLineChars="200"/>
              <w:jc w:val="left"/>
              <w:rPr>
                <w:rFonts w:hint="default"/>
                <w:sz w:val="21"/>
                <w:szCs w:val="21"/>
                <w:vertAlign w:val="baseline"/>
                <w:lang w:val="en-US" w:eastAsia="zh-CN"/>
              </w:rPr>
            </w:pPr>
            <w:r>
              <w:rPr>
                <w:rFonts w:hint="eastAsia"/>
                <w:sz w:val="21"/>
                <w:szCs w:val="21"/>
                <w:vertAlign w:val="baseline"/>
                <w:lang w:val="en-US" w:eastAsia="zh-CN"/>
              </w:rPr>
              <w:t>②</w:t>
            </w:r>
            <w:r>
              <w:rPr>
                <w:rFonts w:hint="default"/>
                <w:sz w:val="21"/>
                <w:szCs w:val="21"/>
                <w:vertAlign w:val="baseline"/>
                <w:lang w:val="en-US" w:eastAsia="zh-CN"/>
              </w:rPr>
              <w:t>本所财务报表；</w:t>
            </w:r>
          </w:p>
          <w:p>
            <w:pPr>
              <w:ind w:firstLine="420" w:firstLineChars="200"/>
              <w:jc w:val="left"/>
              <w:rPr>
                <w:rFonts w:hint="default"/>
                <w:sz w:val="21"/>
                <w:szCs w:val="21"/>
                <w:vertAlign w:val="baseline"/>
                <w:lang w:val="en-US" w:eastAsia="zh-CN"/>
              </w:rPr>
            </w:pPr>
            <w:r>
              <w:rPr>
                <w:rFonts w:hint="eastAsia"/>
                <w:sz w:val="21"/>
                <w:szCs w:val="21"/>
                <w:vertAlign w:val="baseline"/>
                <w:lang w:val="en-US" w:eastAsia="zh-CN"/>
              </w:rPr>
              <w:t>③</w:t>
            </w:r>
            <w:r>
              <w:rPr>
                <w:rFonts w:hint="default"/>
                <w:sz w:val="21"/>
                <w:szCs w:val="21"/>
                <w:vertAlign w:val="baseline"/>
                <w:lang w:val="en-US" w:eastAsia="zh-CN"/>
              </w:rPr>
              <w:t>《基层法律服务所执业证》副本</w:t>
            </w:r>
          </w:p>
          <w:p>
            <w:pPr>
              <w:jc w:val="both"/>
              <w:rPr>
                <w:rFonts w:hint="default"/>
                <w:sz w:val="21"/>
                <w:szCs w:val="21"/>
                <w:vertAlign w:val="baseline"/>
                <w:lang w:val="en-US" w:eastAsia="zh-CN"/>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eastAsia" w:ascii="宋体" w:hAnsi="宋体"/>
                <w:b w:val="0"/>
                <w:i w:val="0"/>
                <w:snapToGrid/>
                <w:color w:val="000000"/>
                <w:sz w:val="22"/>
                <w:u w:val="none"/>
                <w:lang w:eastAsia="zh-CN"/>
              </w:rPr>
              <w:t>现场检查、听取汇报、提交工作总结</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基层法律</w:t>
            </w:r>
          </w:p>
          <w:p>
            <w:pPr>
              <w:kinsoku/>
              <w:autoSpaceDE/>
              <w:autoSpaceDN w:val="0"/>
              <w:jc w:val="center"/>
              <w:textAlignment w:val="center"/>
              <w:rPr>
                <w:rFonts w:hint="default" w:ascii="宋体" w:hAnsi="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服务所</w:t>
            </w:r>
          </w:p>
        </w:tc>
        <w:tc>
          <w:tcPr>
            <w:tcW w:w="1435" w:type="dxa"/>
            <w:tcBorders>
              <w:top w:val="single" w:color="auto"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100%</w:t>
            </w:r>
          </w:p>
        </w:tc>
        <w:tc>
          <w:tcPr>
            <w:tcW w:w="1422" w:type="dxa"/>
            <w:tcBorders>
              <w:top w:val="single" w:color="auto"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Calibri"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不少于2次</w:t>
            </w:r>
            <w:r>
              <w:rPr>
                <w:rFonts w:hint="default" w:ascii="宋体" w:hAnsi="宋体"/>
                <w:b w:val="0"/>
                <w:i w:val="0"/>
                <w:snapToGrid/>
                <w:color w:val="000000"/>
                <w:sz w:val="22"/>
                <w:u w:val="none"/>
                <w:lang w:val="en-US" w:eastAsia="zh-CN"/>
              </w:rPr>
              <w:t>/</w:t>
            </w:r>
            <w:r>
              <w:rPr>
                <w:rFonts w:hint="eastAsia" w:ascii="宋体" w:hAnsi="宋体"/>
                <w:b w:val="0"/>
                <w:i w:val="0"/>
                <w:snapToGrid/>
                <w:color w:val="000000"/>
                <w:sz w:val="22"/>
                <w:u w:val="none"/>
                <w:lang w:val="en-US" w:eastAsia="zh-CN"/>
              </w:rPr>
              <w:t>年</w:t>
            </w:r>
          </w:p>
        </w:tc>
        <w:tc>
          <w:tcPr>
            <w:tcW w:w="1453" w:type="dxa"/>
            <w:tcBorders>
              <w:top w:val="single" w:color="auto"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2NlOTQyNzRjMmY5MWM5YjNiZjBkNjI2MGFmYTAifQ=="/>
  </w:docVars>
  <w:rsids>
    <w:rsidRoot w:val="377A3295"/>
    <w:rsid w:val="023A109F"/>
    <w:rsid w:val="064304A0"/>
    <w:rsid w:val="08475668"/>
    <w:rsid w:val="13441D7E"/>
    <w:rsid w:val="1F1E552E"/>
    <w:rsid w:val="22E20C6B"/>
    <w:rsid w:val="376F5F6E"/>
    <w:rsid w:val="377A3295"/>
    <w:rsid w:val="4E93713A"/>
    <w:rsid w:val="5967369D"/>
    <w:rsid w:val="65C37EAD"/>
    <w:rsid w:val="7F27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820</Words>
  <Characters>856</Characters>
  <Lines>0</Lines>
  <Paragraphs>0</Paragraphs>
  <TotalTime>4</TotalTime>
  <ScaleCrop>false</ScaleCrop>
  <LinksUpToDate>false</LinksUpToDate>
  <CharactersWithSpaces>925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2019-12-19T08:55:00Z</dcterms:created>
  <dc:creator>A小太阳</dc:creator>
  <cp:lastModifiedBy>办公室</cp:lastModifiedBy>
  <dcterms:modified xsi:type="dcterms:W3CDTF">2022-11-21T08:29:39Z</dcterms:modified>
  <dc:title>随机抽查事项清单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52120D80AB3F448693B74A54D8D5FFD8</vt:lpwstr>
  </property>
</Properties>
</file>