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hAnsi="方正大标宋_GBK" w:eastAsia="方正大标宋_GBK" w:cs="方正大标宋_GBK"/>
          <w:b/>
          <w:bCs/>
          <w:color w:val="FF0000"/>
          <w:spacing w:val="0"/>
          <w:w w:val="90"/>
          <w:position w:val="0"/>
          <w:sz w:val="78"/>
          <w:szCs w:val="78"/>
          <w:lang w:val="en-US" w:eastAsia="zh-CN"/>
        </w:rPr>
      </w:pPr>
      <w:r>
        <w:rPr>
          <w:rFonts w:hint="eastAsia" w:ascii="方正大标宋_GBK" w:hAnsi="方正大标宋_GBK" w:eastAsia="方正大标宋_GBK" w:cs="方正大标宋_GBK"/>
          <w:b/>
          <w:bCs/>
          <w:color w:val="FF0000"/>
          <w:spacing w:val="0"/>
          <w:w w:val="90"/>
          <w:position w:val="0"/>
          <w:sz w:val="78"/>
          <w:szCs w:val="78"/>
          <w:lang w:val="en-US" w:eastAsia="zh-CN"/>
        </w:rPr>
        <w:t>右  玉  县  林  业  局</w:t>
      </w:r>
    </w:p>
    <w:p>
      <w:pPr>
        <w:keepNext w:val="0"/>
        <w:keepLines w:val="0"/>
        <w:pageBreakBefore w:val="0"/>
        <w:widowControl w:val="0"/>
        <w:kinsoku/>
        <w:wordWrap/>
        <w:overflowPunct/>
        <w:topLinePunct w:val="0"/>
        <w:autoSpaceDE/>
        <w:autoSpaceDN/>
        <w:bidi w:val="0"/>
        <w:adjustRightInd/>
        <w:snapToGrid/>
        <w:spacing w:before="157" w:beforeLines="50"/>
        <w:jc w:val="right"/>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88265</wp:posOffset>
                </wp:positionV>
                <wp:extent cx="6143625" cy="6985"/>
                <wp:effectExtent l="0" t="0" r="0" b="0"/>
                <wp:wrapNone/>
                <wp:docPr id="2" name="直接连接符 2"/>
                <wp:cNvGraphicFramePr/>
                <a:graphic xmlns:a="http://schemas.openxmlformats.org/drawingml/2006/main">
                  <a:graphicData uri="http://schemas.microsoft.com/office/word/2010/wordprocessingShape">
                    <wps:wsp>
                      <wps:cNvCnPr/>
                      <wps:spPr>
                        <a:xfrm>
                          <a:off x="748665" y="2119630"/>
                          <a:ext cx="6143625" cy="698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1.2pt;margin-top:6.95pt;height:0.55pt;width:483.75pt;z-index:251659264;mso-width-relative:page;mso-height-relative:page;" filled="f" stroked="t" coordsize="21600,21600" o:gfxdata="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2Mst1QAAAAkBAAAPAAAAAAAAAAEAIAAAACIAAABkcnMvZG93bnJldi54bWxQSwEC&#10;FAAUAAAACACHTuJA3H6eWfcBAADAAwAADgAAAAAAAAABACAAAAAkAQAAZHJzL2Uyb0RvYy54bWxQ&#10;SwUGAAAAAAYABgBZAQAAjQUAAAAA&#10;">
                <v:fill on="f" focussize="0,0"/>
                <v:stroke weight="1.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黑体"/>
          <w:sz w:val="44"/>
          <w:szCs w:val="44"/>
          <w:lang w:eastAsia="zh-CN"/>
        </w:rPr>
      </w:pPr>
      <w:r>
        <w:rPr>
          <w:rFonts w:hint="eastAsia" w:ascii="方正小标宋简体" w:hAnsi="方正小标宋简体" w:eastAsia="方正小标宋简体" w:cs="黑体"/>
          <w:sz w:val="44"/>
          <w:szCs w:val="44"/>
          <w:lang w:eastAsia="zh-CN"/>
        </w:rPr>
        <w:t>右玉县林业局</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黑体"/>
          <w:sz w:val="44"/>
          <w:szCs w:val="44"/>
          <w:lang w:eastAsia="zh-CN"/>
        </w:rPr>
      </w:pPr>
      <w:r>
        <w:rPr>
          <w:rFonts w:hint="eastAsia" w:ascii="方正小标宋简体" w:hAnsi="方正小标宋简体" w:eastAsia="方正小标宋简体" w:cs="黑体"/>
          <w:sz w:val="44"/>
          <w:szCs w:val="44"/>
          <w:lang w:eastAsia="zh-CN"/>
        </w:rPr>
        <w:t>关于印发“双随机、</w:t>
      </w:r>
      <w:bookmarkStart w:id="0" w:name="_GoBack"/>
      <w:bookmarkEnd w:id="0"/>
      <w:r>
        <w:rPr>
          <w:rFonts w:hint="eastAsia" w:ascii="方正小标宋简体" w:hAnsi="方正小标宋简体" w:eastAsia="方正小标宋简体" w:cs="黑体"/>
          <w:sz w:val="44"/>
          <w:szCs w:val="44"/>
          <w:lang w:eastAsia="zh-CN"/>
        </w:rPr>
        <w:t>一公开”事项清单的</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黑体"/>
          <w:sz w:val="44"/>
          <w:szCs w:val="44"/>
          <w:lang w:eastAsia="zh-CN"/>
        </w:rPr>
      </w:pPr>
      <w:r>
        <w:rPr>
          <w:rFonts w:hint="eastAsia" w:ascii="方正小标宋简体" w:hAnsi="方正小标宋简体" w:eastAsia="方正小标宋简体" w:cs="黑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各股室、</w:t>
      </w:r>
      <w:r>
        <w:rPr>
          <w:rFonts w:hint="eastAsia" w:ascii="仿宋" w:hAnsi="仿宋" w:eastAsia="仿宋" w:cs="仿宋"/>
          <w:sz w:val="32"/>
          <w:szCs w:val="32"/>
          <w:lang w:eastAsia="zh-CN"/>
        </w:rPr>
        <w:t>局属事业单位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为进一步创新管理方式，规范市场管理执法行为，营造</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公平竞争的发展环境，根据“双随机”抽查规范事中事后监管要求，</w:t>
      </w:r>
      <w:r>
        <w:rPr>
          <w:rFonts w:hint="eastAsia" w:ascii="仿宋" w:hAnsi="仿宋" w:eastAsia="仿宋" w:cs="仿宋"/>
          <w:sz w:val="32"/>
          <w:szCs w:val="32"/>
          <w:lang w:eastAsia="zh-CN"/>
        </w:rPr>
        <w:t>我</w:t>
      </w:r>
      <w:r>
        <w:rPr>
          <w:rFonts w:hint="eastAsia" w:ascii="仿宋" w:hAnsi="仿宋" w:eastAsia="仿宋" w:cs="仿宋"/>
          <w:sz w:val="32"/>
          <w:szCs w:val="32"/>
        </w:rPr>
        <w:t>局制定了《</w:t>
      </w:r>
      <w:r>
        <w:rPr>
          <w:rFonts w:hint="eastAsia" w:ascii="仿宋" w:hAnsi="仿宋" w:eastAsia="仿宋" w:cs="仿宋"/>
          <w:sz w:val="32"/>
          <w:szCs w:val="32"/>
          <w:lang w:eastAsia="zh-CN"/>
        </w:rPr>
        <w:t>右玉县</w:t>
      </w:r>
      <w:r>
        <w:rPr>
          <w:rFonts w:hint="eastAsia" w:ascii="仿宋" w:hAnsi="仿宋" w:eastAsia="仿宋" w:cs="仿宋"/>
          <w:sz w:val="32"/>
          <w:szCs w:val="32"/>
        </w:rPr>
        <w:t>林业局“双随机一公开”事项清单》，现印发你们，请遵照执行。</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右玉县</w:t>
      </w:r>
      <w:r>
        <w:rPr>
          <w:rFonts w:hint="eastAsia" w:ascii="仿宋" w:hAnsi="仿宋" w:eastAsia="仿宋" w:cs="仿宋"/>
          <w:sz w:val="32"/>
          <w:szCs w:val="32"/>
        </w:rPr>
        <w:t>林业局“双随机一公开”事项清单</w:t>
      </w: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lang w:eastAsia="zh-CN"/>
        </w:rPr>
        <w:t>右玉县</w:t>
      </w:r>
      <w:r>
        <w:rPr>
          <w:rFonts w:hint="eastAsia" w:ascii="仿宋" w:hAnsi="仿宋" w:eastAsia="仿宋" w:cs="仿宋"/>
          <w:sz w:val="32"/>
          <w:szCs w:val="32"/>
        </w:rPr>
        <w:t>林业局</w:t>
      </w:r>
    </w:p>
    <w:p>
      <w:pPr>
        <w:ind w:firstLine="5120" w:firstLineChars="16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4"/>
        <w:ind w:firstLine="0"/>
        <w:jc w:val="center"/>
        <w:rPr>
          <w:rFonts w:ascii="方正小标宋_GBK" w:hAnsi="方正小标宋_GBK" w:eastAsia="方正小标宋_GBK"/>
          <w:kern w:val="2"/>
          <w:sz w:val="44"/>
          <w:szCs w:val="44"/>
        </w:rPr>
      </w:pPr>
      <w:r>
        <w:rPr>
          <w:rFonts w:hint="eastAsia" w:ascii="方正小标宋_GBK" w:hAnsi="方正小标宋_GBK" w:eastAsia="方正小标宋_GBK"/>
          <w:kern w:val="2"/>
          <w:sz w:val="44"/>
          <w:szCs w:val="44"/>
          <w:lang w:eastAsia="zh-CN"/>
        </w:rPr>
        <w:t>右玉县</w:t>
      </w:r>
      <w:r>
        <w:rPr>
          <w:rFonts w:ascii="方正小标宋_GBK" w:hAnsi="方正小标宋_GBK" w:eastAsia="方正小标宋_GBK"/>
          <w:kern w:val="2"/>
          <w:sz w:val="44"/>
          <w:szCs w:val="44"/>
        </w:rPr>
        <w:t>林业局“双随机一公开”事项清单</w:t>
      </w:r>
    </w:p>
    <w:p>
      <w:pPr>
        <w:pStyle w:val="4"/>
        <w:ind w:firstLine="0"/>
        <w:jc w:val="center"/>
        <w:rPr>
          <w:rFonts w:ascii="方正小标宋_GBK" w:hAnsi="方正小标宋_GBK" w:eastAsia="方正小标宋_GBK"/>
          <w:kern w:val="2"/>
          <w:sz w:val="44"/>
          <w:szCs w:val="44"/>
        </w:rPr>
      </w:pPr>
    </w:p>
    <w:tbl>
      <w:tblPr>
        <w:tblStyle w:val="2"/>
        <w:tblW w:w="13531" w:type="dxa"/>
        <w:jc w:val="center"/>
        <w:tblLayout w:type="fixed"/>
        <w:tblCellMar>
          <w:top w:w="28" w:type="dxa"/>
          <w:left w:w="57" w:type="dxa"/>
          <w:bottom w:w="28" w:type="dxa"/>
          <w:right w:w="57" w:type="dxa"/>
        </w:tblCellMar>
      </w:tblPr>
      <w:tblGrid>
        <w:gridCol w:w="728"/>
        <w:gridCol w:w="1530"/>
        <w:gridCol w:w="2505"/>
        <w:gridCol w:w="3720"/>
        <w:gridCol w:w="4261"/>
        <w:gridCol w:w="787"/>
      </w:tblGrid>
      <w:tr>
        <w:tblPrEx>
          <w:tblCellMar>
            <w:top w:w="28" w:type="dxa"/>
            <w:left w:w="57" w:type="dxa"/>
            <w:bottom w:w="28" w:type="dxa"/>
            <w:right w:w="57" w:type="dxa"/>
          </w:tblCellMar>
        </w:tblPrEx>
        <w:trPr>
          <w:trHeight w:val="425" w:hRule="atLeast"/>
          <w:tblHeader/>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实施主体</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抽查事项</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抽查内容</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抽查依据</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5"/>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备注</w:t>
            </w:r>
          </w:p>
        </w:tc>
      </w:tr>
      <w:tr>
        <w:tblPrEx>
          <w:tblCellMar>
            <w:top w:w="28" w:type="dxa"/>
            <w:left w:w="57" w:type="dxa"/>
            <w:bottom w:w="28" w:type="dxa"/>
            <w:right w:w="57" w:type="dxa"/>
          </w:tblCellMar>
        </w:tblPrEx>
        <w:trPr>
          <w:trHeight w:val="1293"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bidi w:val="0"/>
              <w:spacing w:line="36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勘查、开采矿藏和各项建设工程占用或者征收、征用林地执法检查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中华人民共和国森林法》第三十八条、三十九条；《中华人民共和国森林法实施条例》第十六条。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1544"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森林经营单位修筑直接为林业生产服务的工程设施占用林地执法检查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中华人民共和国森林法》第五十二条；《中华人民共和国森林法实施条例》第十六条。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3</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占用林地执法检查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中华人民共和国森林法》第三十八条、三十九条；《中华人民共和国森林法实施条例》第十六条。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425"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林木种子生产经营检查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spacing w:val="-10"/>
                <w:kern w:val="2"/>
                <w:sz w:val="21"/>
                <w:szCs w:val="21"/>
                <w:highlight w:val="none"/>
              </w:rPr>
            </w:pPr>
            <w:r>
              <w:rPr>
                <w:rFonts w:ascii="宋体" w:hAnsi="宋体" w:eastAsia="宋体" w:cs="宋体"/>
                <w:kern w:val="2"/>
                <w:sz w:val="21"/>
                <w:szCs w:val="21"/>
                <w:highlight w:val="none"/>
              </w:rPr>
              <w:t>1.</w:t>
            </w:r>
            <w:r>
              <w:rPr>
                <w:rFonts w:ascii="宋体" w:hAnsi="宋体" w:eastAsia="宋体" w:cs="宋体"/>
                <w:spacing w:val="-10"/>
                <w:kern w:val="2"/>
                <w:sz w:val="21"/>
                <w:szCs w:val="21"/>
                <w:highlight w:val="none"/>
              </w:rPr>
              <w:t>生产经营场所、设备及有关工具等；</w:t>
            </w:r>
          </w:p>
          <w:p>
            <w:pPr>
              <w:pStyle w:val="6"/>
              <w:widowControl w:val="0"/>
              <w:spacing w:line="300" w:lineRule="exact"/>
              <w:ind w:firstLine="0"/>
              <w:rPr>
                <w:rFonts w:ascii="宋体" w:hAnsi="宋体" w:eastAsia="宋体" w:cs="宋体"/>
                <w:spacing w:val="-10"/>
                <w:kern w:val="2"/>
                <w:sz w:val="21"/>
                <w:szCs w:val="21"/>
                <w:highlight w:val="none"/>
              </w:rPr>
            </w:pPr>
            <w:r>
              <w:rPr>
                <w:rFonts w:ascii="宋体" w:hAnsi="宋体" w:eastAsia="宋体" w:cs="宋体"/>
                <w:spacing w:val="-10"/>
                <w:kern w:val="2"/>
                <w:sz w:val="21"/>
                <w:szCs w:val="21"/>
                <w:highlight w:val="none"/>
              </w:rPr>
              <w:t>2.对种子进行取样测试、试验或检验；</w:t>
            </w:r>
          </w:p>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3.有关合同、票据、账簿、生产经营档案及其他有关资料。</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《中华人民共和国种子法》第四十七、五十条。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从事营利性治沙活动许可执法检查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numPr>
                <w:ilvl w:val="0"/>
                <w:numId w:val="1"/>
              </w:numPr>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被治理土地权属的合法性</w:t>
            </w:r>
          </w:p>
          <w:p>
            <w:pPr>
              <w:pStyle w:val="6"/>
              <w:widowControl w:val="0"/>
              <w:numPr>
                <w:ilvl w:val="0"/>
                <w:numId w:val="1"/>
              </w:numPr>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符合防沙治沙规划的治理</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《中华人民共和国防沙治沙法》第二十六条。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856"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森林高火险期内进入森林高火险区的活动检查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未取得审批，违规进入高火险林区开展活动。</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《森林防火条例》第二十九条 。</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425"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7</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陆生野生动物保护监督检查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1.对科学研究、人工繁育、公众展示展演等利用 陆生野生动物及其制品的活动进行监督管理。</w:t>
            </w:r>
          </w:p>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2.对经营利用陆生野生动物或其产品监 督检查。</w:t>
            </w:r>
          </w:p>
          <w:p>
            <w:pPr>
              <w:pStyle w:val="6"/>
              <w:widowControl w:val="0"/>
              <w:spacing w:line="300" w:lineRule="exact"/>
              <w:ind w:firstLine="0"/>
              <w:rPr>
                <w:rFonts w:ascii="宋体" w:hAnsi="宋体" w:eastAsia="宋体" w:cs="宋体"/>
                <w:kern w:val="2"/>
                <w:sz w:val="21"/>
                <w:szCs w:val="21"/>
                <w:highlight w:val="none"/>
              </w:rPr>
            </w:pP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《中华人民共和国野生动物保护法》第二十七条、第二十九条、第三十条。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bl>
    <w:p>
      <w:pPr>
        <w:rPr>
          <w:rFonts w:hint="eastAsia" w:ascii="仿宋" w:hAnsi="仿宋" w:eastAsia="仿宋" w:cs="仿宋"/>
          <w:sz w:val="32"/>
          <w:szCs w:val="32"/>
          <w:lang w:eastAsia="zh-CN"/>
        </w:rPr>
        <w:sectPr>
          <w:pgSz w:w="16838" w:h="11906" w:orient="landscape"/>
          <w:pgMar w:top="1800" w:right="1440" w:bottom="1800" w:left="1440" w:header="851" w:footer="992" w:gutter="0"/>
          <w:cols w:space="425" w:num="1"/>
          <w:docGrid w:type="lines" w:linePitch="312" w:charSpace="0"/>
        </w:sectPr>
      </w:pPr>
    </w:p>
    <w:p>
      <w:pPr>
        <w:tabs>
          <w:tab w:val="left" w:pos="876"/>
        </w:tabs>
        <w:rPr>
          <w:rFonts w:hint="eastAsia" w:ascii="仿宋" w:hAnsi="仿宋" w:eastAsia="仿宋" w:cs="仿宋"/>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04359-799D-4F90-8E19-0A100BCED8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6280A28-9FCC-4B60-8CDD-62B550B70ACE}"/>
  </w:font>
  <w:font w:name="方正小标宋简体">
    <w:panose1 w:val="02000000000000000000"/>
    <w:charset w:val="86"/>
    <w:family w:val="script"/>
    <w:pitch w:val="default"/>
    <w:sig w:usb0="00000001" w:usb1="08000000" w:usb2="00000000" w:usb3="00000000" w:csb0="00040000" w:csb1="00000000"/>
    <w:embedRegular r:id="rId3" w:fontKey="{50667AF8-8C5E-47F6-9C6A-B5C9970B87DC}"/>
  </w:font>
  <w:font w:name="方正小标宋_GBK">
    <w:panose1 w:val="02000000000000000000"/>
    <w:charset w:val="86"/>
    <w:family w:val="roman"/>
    <w:pitch w:val="default"/>
    <w:sig w:usb0="A00002BF" w:usb1="38CF7CFA" w:usb2="00082016" w:usb3="00000000" w:csb0="00040001" w:csb1="00000000"/>
    <w:embedRegular r:id="rId4" w:fontKey="{359A7248-8BEA-4FDE-A2FC-4225F5874C0D}"/>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FiNTYwODFlNDM1MGMzZjNmOWVmYzQ4NmEwYzIifQ=="/>
  </w:docVars>
  <w:rsids>
    <w:rsidRoot w:val="2BE10C72"/>
    <w:rsid w:val="1C140DF3"/>
    <w:rsid w:val="1CB000E2"/>
    <w:rsid w:val="248D712C"/>
    <w:rsid w:val="2BE10C72"/>
    <w:rsid w:val="3876687D"/>
    <w:rsid w:val="3F8D5357"/>
    <w:rsid w:val="52436854"/>
    <w:rsid w:val="560835A7"/>
    <w:rsid w:val="69F21366"/>
    <w:rsid w:val="6DDD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5"/>
    <w:qFormat/>
    <w:uiPriority w:val="0"/>
    <w:pPr>
      <w:snapToGrid w:val="0"/>
      <w:spacing w:line="590" w:lineRule="exact"/>
      <w:ind w:firstLine="0"/>
    </w:pPr>
    <w:rPr>
      <w:rFonts w:ascii="方正黑体_GBK" w:hAnsi="方正黑体_GBK" w:eastAsia="方正黑体_GBK"/>
      <w:kern w:val="0"/>
      <w:sz w:val="32"/>
      <w:szCs w:val="32"/>
    </w:rPr>
  </w:style>
  <w:style w:type="paragraph" w:customStyle="1" w:styleId="5">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30"/>
      <w:szCs w:val="30"/>
      <w:lang w:val="en-US" w:eastAsia="zh-CN" w:bidi="ar-SA"/>
    </w:rPr>
  </w:style>
  <w:style w:type="paragraph" w:customStyle="1" w:styleId="6">
    <w:name w:val="样式2"/>
    <w:basedOn w:val="5"/>
    <w:qFormat/>
    <w:uiPriority w:val="0"/>
    <w:pPr>
      <w:snapToGrid w:val="0"/>
      <w:spacing w:line="590" w:lineRule="exact"/>
      <w:ind w:firstLine="0"/>
    </w:pPr>
    <w:rPr>
      <w:rFonts w:ascii="方正楷体_GBK" w:hAnsi="方正楷体_GBK" w:eastAsia="方正楷体_GBK"/>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798</Words>
  <Characters>808</Characters>
  <Lines>0</Lines>
  <Paragraphs>0</Paragraphs>
  <TotalTime>7</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2022-10-10T01:57:00Z</dcterms:created>
  <dc:creator>Administrator</dc:creator>
  <cp:lastModifiedBy>张xq</cp:lastModifiedBy>
  <dcterms:modified xsi:type="dcterms:W3CDTF">2023-05-26T02:59:24Z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EA2F46AD014B4C698BBF1E1270855CCD</vt:lpwstr>
  </property>
</Properties>
</file>