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jc w:val="center"/>
        <w:rPr>
          <w:rFonts w:ascii="方正小标宋_GBK" w:hAnsi="方正小标宋_GBK" w:eastAsia="方正小标宋_GBK"/>
          <w:kern w:val="2"/>
          <w:sz w:val="44"/>
          <w:szCs w:val="44"/>
        </w:rPr>
      </w:pPr>
      <w:r>
        <w:rPr>
          <w:rFonts w:hint="eastAsia" w:ascii="方正小标宋_GBK" w:hAnsi="方正小标宋_GBK" w:eastAsia="方正小标宋_GBK"/>
          <w:kern w:val="2"/>
          <w:sz w:val="44"/>
          <w:szCs w:val="44"/>
          <w:lang w:eastAsia="zh-CN"/>
        </w:rPr>
        <w:t>右玉县</w:t>
      </w:r>
      <w:r>
        <w:rPr>
          <w:rFonts w:ascii="方正小标宋_GBK" w:hAnsi="方正小标宋_GBK" w:eastAsia="方正小标宋_GBK"/>
          <w:kern w:val="2"/>
          <w:sz w:val="44"/>
          <w:szCs w:val="44"/>
        </w:rPr>
        <w:t>林业局“双随机</w:t>
      </w:r>
      <w:r>
        <w:rPr>
          <w:rFonts w:hint="eastAsia" w:ascii="方正小标宋_GBK" w:hAnsi="方正小标宋_GBK" w:eastAsia="方正小标宋_GBK"/>
          <w:kern w:val="2"/>
          <w:sz w:val="44"/>
          <w:szCs w:val="44"/>
          <w:lang w:eastAsia="zh-CN"/>
        </w:rPr>
        <w:t>、</w:t>
      </w:r>
      <w:bookmarkStart w:id="0" w:name="_GoBack"/>
      <w:bookmarkEnd w:id="0"/>
      <w:r>
        <w:rPr>
          <w:rFonts w:ascii="方正小标宋_GBK" w:hAnsi="方正小标宋_GBK" w:eastAsia="方正小标宋_GBK"/>
          <w:kern w:val="2"/>
          <w:sz w:val="44"/>
          <w:szCs w:val="44"/>
        </w:rPr>
        <w:t>一公开”事项清单</w:t>
      </w:r>
    </w:p>
    <w:p>
      <w:pPr>
        <w:pStyle w:val="5"/>
        <w:ind w:firstLine="0"/>
        <w:jc w:val="center"/>
        <w:rPr>
          <w:rFonts w:ascii="方正小标宋_GBK" w:hAnsi="方正小标宋_GBK" w:eastAsia="方正小标宋_GBK"/>
          <w:kern w:val="2"/>
          <w:sz w:val="44"/>
          <w:szCs w:val="44"/>
        </w:rPr>
      </w:pPr>
    </w:p>
    <w:tbl>
      <w:tblPr>
        <w:tblStyle w:val="2"/>
        <w:tblW w:w="13531" w:type="dxa"/>
        <w:jc w:val="center"/>
        <w:tblLayout w:type="fixed"/>
        <w:tblCellMar>
          <w:top w:w="28" w:type="dxa"/>
          <w:left w:w="57" w:type="dxa"/>
          <w:bottom w:w="28" w:type="dxa"/>
          <w:right w:w="57" w:type="dxa"/>
        </w:tblCellMar>
      </w:tblPr>
      <w:tblGrid>
        <w:gridCol w:w="728"/>
        <w:gridCol w:w="1530"/>
        <w:gridCol w:w="2505"/>
        <w:gridCol w:w="3720"/>
        <w:gridCol w:w="4261"/>
        <w:gridCol w:w="787"/>
      </w:tblGrid>
      <w:tr>
        <w:tblPrEx>
          <w:tblCellMar>
            <w:top w:w="28" w:type="dxa"/>
            <w:left w:w="57" w:type="dxa"/>
            <w:bottom w:w="28" w:type="dxa"/>
            <w:right w:w="57" w:type="dxa"/>
          </w:tblCellMar>
        </w:tblPrEx>
        <w:trPr>
          <w:trHeight w:val="425" w:hRule="atLeast"/>
          <w:tblHeader/>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4"/>
              <w:widowControl w:val="0"/>
              <w:snapToGrid w:val="0"/>
              <w:spacing w:line="360" w:lineRule="exact"/>
              <w:jc w:val="center"/>
              <w:rPr>
                <w:rFonts w:ascii="宋体" w:hAnsi="宋体" w:cs="宋体"/>
                <w:b/>
                <w:bCs/>
                <w:sz w:val="21"/>
                <w:szCs w:val="21"/>
                <w:highlight w:val="none"/>
              </w:rPr>
            </w:pPr>
            <w:r>
              <w:rPr>
                <w:rFonts w:ascii="宋体" w:hAnsi="宋体" w:cs="宋体"/>
                <w:b/>
                <w:bCs/>
                <w:sz w:val="21"/>
                <w:szCs w:val="21"/>
                <w:highlight w:val="none"/>
              </w:rPr>
              <w:t>序号</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
              <w:widowControl w:val="0"/>
              <w:snapToGrid w:val="0"/>
              <w:spacing w:line="360" w:lineRule="exact"/>
              <w:jc w:val="center"/>
              <w:rPr>
                <w:rFonts w:ascii="宋体" w:hAnsi="宋体" w:cs="宋体"/>
                <w:b/>
                <w:bCs/>
                <w:sz w:val="21"/>
                <w:szCs w:val="21"/>
                <w:highlight w:val="none"/>
              </w:rPr>
            </w:pPr>
            <w:r>
              <w:rPr>
                <w:rFonts w:ascii="宋体" w:hAnsi="宋体" w:cs="宋体"/>
                <w:b/>
                <w:bCs/>
                <w:sz w:val="21"/>
                <w:szCs w:val="21"/>
                <w:highlight w:val="none"/>
              </w:rPr>
              <w:t>实施主体</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4"/>
              <w:widowControl w:val="0"/>
              <w:snapToGrid w:val="0"/>
              <w:spacing w:line="360" w:lineRule="exact"/>
              <w:jc w:val="center"/>
              <w:rPr>
                <w:rFonts w:ascii="宋体" w:hAnsi="宋体" w:cs="宋体"/>
                <w:b/>
                <w:bCs/>
                <w:sz w:val="21"/>
                <w:szCs w:val="21"/>
                <w:highlight w:val="none"/>
              </w:rPr>
            </w:pPr>
            <w:r>
              <w:rPr>
                <w:rFonts w:ascii="宋体" w:hAnsi="宋体" w:cs="宋体"/>
                <w:b/>
                <w:bCs/>
                <w:sz w:val="21"/>
                <w:szCs w:val="21"/>
                <w:highlight w:val="none"/>
              </w:rPr>
              <w:t>抽查事项</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4"/>
              <w:widowControl w:val="0"/>
              <w:snapToGrid w:val="0"/>
              <w:spacing w:line="360" w:lineRule="exact"/>
              <w:jc w:val="center"/>
              <w:rPr>
                <w:rFonts w:ascii="宋体" w:hAnsi="宋体" w:cs="宋体"/>
                <w:b/>
                <w:bCs/>
                <w:sz w:val="21"/>
                <w:szCs w:val="21"/>
                <w:highlight w:val="none"/>
              </w:rPr>
            </w:pPr>
            <w:r>
              <w:rPr>
                <w:rFonts w:ascii="宋体" w:hAnsi="宋体" w:cs="宋体"/>
                <w:b/>
                <w:bCs/>
                <w:sz w:val="21"/>
                <w:szCs w:val="21"/>
                <w:highlight w:val="none"/>
              </w:rPr>
              <w:t>抽查内容</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4"/>
              <w:widowControl w:val="0"/>
              <w:snapToGrid w:val="0"/>
              <w:spacing w:line="360" w:lineRule="exact"/>
              <w:jc w:val="center"/>
              <w:rPr>
                <w:rFonts w:ascii="宋体" w:hAnsi="宋体" w:cs="宋体"/>
                <w:b/>
                <w:bCs/>
                <w:sz w:val="21"/>
                <w:szCs w:val="21"/>
                <w:highlight w:val="none"/>
              </w:rPr>
            </w:pPr>
            <w:r>
              <w:rPr>
                <w:rFonts w:ascii="宋体" w:hAnsi="宋体" w:cs="宋体"/>
                <w:b/>
                <w:bCs/>
                <w:sz w:val="21"/>
                <w:szCs w:val="21"/>
                <w:highlight w:val="none"/>
              </w:rPr>
              <w:t>抽查依据</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4"/>
              <w:widowControl w:val="0"/>
              <w:snapToGrid w:val="0"/>
              <w:spacing w:line="360" w:lineRule="exact"/>
              <w:jc w:val="center"/>
              <w:rPr>
                <w:rFonts w:ascii="宋体" w:hAnsi="宋体" w:cs="宋体"/>
                <w:b/>
                <w:bCs/>
                <w:sz w:val="21"/>
                <w:szCs w:val="21"/>
                <w:highlight w:val="none"/>
              </w:rPr>
            </w:pPr>
            <w:r>
              <w:rPr>
                <w:rFonts w:ascii="宋体" w:hAnsi="宋体" w:cs="宋体"/>
                <w:b/>
                <w:bCs/>
                <w:sz w:val="21"/>
                <w:szCs w:val="21"/>
                <w:highlight w:val="none"/>
              </w:rPr>
              <w:t>备注</w:t>
            </w:r>
          </w:p>
        </w:tc>
      </w:tr>
      <w:tr>
        <w:tblPrEx>
          <w:tblCellMar>
            <w:top w:w="28" w:type="dxa"/>
            <w:left w:w="57" w:type="dxa"/>
            <w:bottom w:w="28" w:type="dxa"/>
            <w:right w:w="57" w:type="dxa"/>
          </w:tblCellMar>
        </w:tblPrEx>
        <w:trPr>
          <w:trHeight w:val="1293"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jc w:val="center"/>
              <w:rPr>
                <w:rFonts w:ascii="宋体" w:hAnsi="宋体" w:eastAsia="宋体" w:cs="宋体"/>
                <w:kern w:val="2"/>
                <w:sz w:val="21"/>
                <w:szCs w:val="21"/>
                <w:highlight w:val="none"/>
              </w:rPr>
            </w:pPr>
            <w:r>
              <w:rPr>
                <w:rFonts w:ascii="宋体" w:hAnsi="宋体" w:eastAsia="宋体" w:cs="宋体"/>
                <w:kern w:val="2"/>
                <w:sz w:val="21"/>
                <w:szCs w:val="21"/>
                <w:highlight w:val="none"/>
              </w:rPr>
              <w:t>1</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bidi w:val="0"/>
              <w:spacing w:line="36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勘查、开采矿藏和各项建设工程占用或者征收、征用林地执法检查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林地管理；违法违规占用林地。</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中华人民共和国森林法》第三十八条、三十九条；《中华人民共和国森林法实施条例》第十六条。</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p>
        </w:tc>
      </w:tr>
      <w:tr>
        <w:tblPrEx>
          <w:tblCellMar>
            <w:top w:w="28" w:type="dxa"/>
            <w:left w:w="57" w:type="dxa"/>
            <w:bottom w:w="28" w:type="dxa"/>
            <w:right w:w="57" w:type="dxa"/>
          </w:tblCellMar>
        </w:tblPrEx>
        <w:trPr>
          <w:trHeight w:val="1544"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jc w:val="center"/>
              <w:rPr>
                <w:rFonts w:ascii="宋体" w:hAnsi="宋体" w:eastAsia="宋体" w:cs="宋体"/>
                <w:kern w:val="2"/>
                <w:sz w:val="21"/>
                <w:szCs w:val="21"/>
                <w:highlight w:val="none"/>
              </w:rPr>
            </w:pPr>
            <w:r>
              <w:rPr>
                <w:rFonts w:ascii="宋体" w:hAnsi="宋体" w:eastAsia="宋体" w:cs="宋体"/>
                <w:kern w:val="2"/>
                <w:sz w:val="21"/>
                <w:szCs w:val="21"/>
                <w:highlight w:val="none"/>
              </w:rPr>
              <w:t>2</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森林经营单位修筑直接为林业生产服务的工程设施占用林地执法检查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林地管理；违法违规占用林地。</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中华人民共和国森林法》第五十二条；《中华人民共和国森林法实施条例》第十六条。</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p>
        </w:tc>
      </w:tr>
      <w:tr>
        <w:tblPrEx>
          <w:tblCellMar>
            <w:top w:w="28" w:type="dxa"/>
            <w:left w:w="57" w:type="dxa"/>
            <w:bottom w:w="28" w:type="dxa"/>
            <w:right w:w="57" w:type="dxa"/>
          </w:tblCellMar>
        </w:tblPrEx>
        <w:trPr>
          <w:trHeight w:val="90"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16" w:lineRule="exact"/>
              <w:ind w:firstLine="0"/>
              <w:jc w:val="center"/>
              <w:rPr>
                <w:rFonts w:ascii="宋体" w:hAnsi="宋体" w:eastAsia="宋体" w:cs="宋体"/>
                <w:kern w:val="2"/>
                <w:sz w:val="21"/>
                <w:szCs w:val="21"/>
                <w:highlight w:val="none"/>
              </w:rPr>
            </w:pPr>
            <w:r>
              <w:rPr>
                <w:rFonts w:ascii="宋体" w:hAnsi="宋体" w:eastAsia="宋体" w:cs="宋体"/>
                <w:kern w:val="2"/>
                <w:sz w:val="21"/>
                <w:szCs w:val="21"/>
                <w:highlight w:val="none"/>
              </w:rPr>
              <w:t>3</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占用林地执法检查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林地管理；违法违规占用林地。</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中华人民共和国森林法》第三十八条、三十九条；《中华人民共和国森林法实施条例》第十六条。</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16" w:lineRule="exact"/>
              <w:ind w:firstLine="0"/>
              <w:rPr>
                <w:rFonts w:ascii="宋体" w:hAnsi="宋体" w:eastAsia="宋体" w:cs="宋体"/>
                <w:kern w:val="2"/>
                <w:sz w:val="21"/>
                <w:szCs w:val="21"/>
                <w:highlight w:val="none"/>
              </w:rPr>
            </w:pPr>
          </w:p>
        </w:tc>
      </w:tr>
      <w:tr>
        <w:tblPrEx>
          <w:tblCellMar>
            <w:top w:w="28" w:type="dxa"/>
            <w:left w:w="57" w:type="dxa"/>
            <w:bottom w:w="28" w:type="dxa"/>
            <w:right w:w="57" w:type="dxa"/>
          </w:tblCellMar>
        </w:tblPrEx>
        <w:trPr>
          <w:trHeight w:val="425"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16" w:lineRule="exact"/>
              <w:ind w:firstLine="0"/>
              <w:jc w:val="center"/>
              <w:rPr>
                <w:rFonts w:ascii="宋体" w:hAnsi="宋体" w:eastAsia="宋体" w:cs="宋体"/>
                <w:kern w:val="2"/>
                <w:sz w:val="21"/>
                <w:szCs w:val="21"/>
                <w:highlight w:val="none"/>
              </w:rPr>
            </w:pPr>
            <w:r>
              <w:rPr>
                <w:rFonts w:ascii="宋体" w:hAnsi="宋体" w:eastAsia="宋体" w:cs="宋体"/>
                <w:kern w:val="2"/>
                <w:sz w:val="21"/>
                <w:szCs w:val="21"/>
                <w:highlight w:val="none"/>
              </w:rPr>
              <w:t>4</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林木种子生产经营检查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spacing w:val="-10"/>
                <w:kern w:val="2"/>
                <w:sz w:val="21"/>
                <w:szCs w:val="21"/>
                <w:highlight w:val="none"/>
              </w:rPr>
            </w:pPr>
            <w:r>
              <w:rPr>
                <w:rFonts w:ascii="宋体" w:hAnsi="宋体" w:eastAsia="宋体" w:cs="宋体"/>
                <w:kern w:val="2"/>
                <w:sz w:val="21"/>
                <w:szCs w:val="21"/>
                <w:highlight w:val="none"/>
              </w:rPr>
              <w:t>1.</w:t>
            </w:r>
            <w:r>
              <w:rPr>
                <w:rFonts w:ascii="宋体" w:hAnsi="宋体" w:eastAsia="宋体" w:cs="宋体"/>
                <w:spacing w:val="-10"/>
                <w:kern w:val="2"/>
                <w:sz w:val="21"/>
                <w:szCs w:val="21"/>
                <w:highlight w:val="none"/>
              </w:rPr>
              <w:t>生产经营场所、设备及有关工具等；</w:t>
            </w:r>
          </w:p>
          <w:p>
            <w:pPr>
              <w:pStyle w:val="6"/>
              <w:widowControl w:val="0"/>
              <w:spacing w:line="300" w:lineRule="exact"/>
              <w:ind w:firstLine="0"/>
              <w:rPr>
                <w:rFonts w:ascii="宋体" w:hAnsi="宋体" w:eastAsia="宋体" w:cs="宋体"/>
                <w:spacing w:val="-10"/>
                <w:kern w:val="2"/>
                <w:sz w:val="21"/>
                <w:szCs w:val="21"/>
                <w:highlight w:val="none"/>
              </w:rPr>
            </w:pPr>
            <w:r>
              <w:rPr>
                <w:rFonts w:ascii="宋体" w:hAnsi="宋体" w:eastAsia="宋体" w:cs="宋体"/>
                <w:spacing w:val="-10"/>
                <w:kern w:val="2"/>
                <w:sz w:val="21"/>
                <w:szCs w:val="21"/>
                <w:highlight w:val="none"/>
              </w:rPr>
              <w:t>2.对种子进行取样测试、试验或检验；</w:t>
            </w:r>
          </w:p>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3.有关合同、票据、账簿、生产经营档案及其他有关资料。</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《中华人民共和国种子法》第四十七、五十条。</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16" w:lineRule="exact"/>
              <w:ind w:firstLine="0"/>
              <w:rPr>
                <w:rFonts w:ascii="宋体" w:hAnsi="宋体" w:eastAsia="宋体" w:cs="宋体"/>
                <w:kern w:val="2"/>
                <w:sz w:val="21"/>
                <w:szCs w:val="21"/>
                <w:highlight w:val="none"/>
              </w:rPr>
            </w:pPr>
          </w:p>
        </w:tc>
      </w:tr>
      <w:tr>
        <w:tblPrEx>
          <w:tblCellMar>
            <w:top w:w="28" w:type="dxa"/>
            <w:left w:w="57" w:type="dxa"/>
            <w:bottom w:w="28" w:type="dxa"/>
            <w:right w:w="57" w:type="dxa"/>
          </w:tblCellMar>
        </w:tblPrEx>
        <w:trPr>
          <w:trHeight w:val="841"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5</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从事营利性治沙活动许可执法检查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numPr>
                <w:ilvl w:val="0"/>
                <w:numId w:val="1"/>
              </w:numPr>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被治理土地权属的合法性</w:t>
            </w:r>
          </w:p>
          <w:p>
            <w:pPr>
              <w:pStyle w:val="6"/>
              <w:widowControl w:val="0"/>
              <w:numPr>
                <w:ilvl w:val="0"/>
                <w:numId w:val="1"/>
              </w:numPr>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符合防沙治沙规划的治理</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《中华人民共和国防沙治沙法》第二十六条。</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p>
        </w:tc>
      </w:tr>
      <w:tr>
        <w:tblPrEx>
          <w:tblCellMar>
            <w:top w:w="28" w:type="dxa"/>
            <w:left w:w="57" w:type="dxa"/>
            <w:bottom w:w="28" w:type="dxa"/>
            <w:right w:w="57" w:type="dxa"/>
          </w:tblCellMar>
        </w:tblPrEx>
        <w:trPr>
          <w:trHeight w:val="856"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6</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森林高火险期内进入森林高火险区的活动检查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未取得审批，违规进入高火险林区开展活动。</w:t>
            </w: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《森林防火条例》第二十九条 。</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p>
        </w:tc>
      </w:tr>
      <w:tr>
        <w:tblPrEx>
          <w:tblCellMar>
            <w:top w:w="28" w:type="dxa"/>
            <w:left w:w="57" w:type="dxa"/>
            <w:bottom w:w="28" w:type="dxa"/>
            <w:right w:w="57" w:type="dxa"/>
          </w:tblCellMar>
        </w:tblPrEx>
        <w:trPr>
          <w:trHeight w:val="425"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7</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右玉县</w:t>
            </w:r>
            <w:r>
              <w:rPr>
                <w:rFonts w:ascii="宋体" w:hAnsi="宋体" w:eastAsia="宋体" w:cs="宋体"/>
                <w:kern w:val="2"/>
                <w:sz w:val="21"/>
                <w:szCs w:val="21"/>
                <w:highlight w:val="none"/>
              </w:rPr>
              <w:t>林业局</w:t>
            </w:r>
          </w:p>
        </w:tc>
        <w:tc>
          <w:tcPr>
            <w:tcW w:w="2505"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陆生野生动物保护监督检查</w:t>
            </w:r>
          </w:p>
        </w:tc>
        <w:tc>
          <w:tcPr>
            <w:tcW w:w="372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1.对科学研究、人工繁育、公众展示展演等利用 陆生野生动物及其制品的活动进行监督管理。</w:t>
            </w:r>
          </w:p>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2.对经营利用陆生野生动物或其产品监 督检查。</w:t>
            </w:r>
          </w:p>
          <w:p>
            <w:pPr>
              <w:pStyle w:val="6"/>
              <w:widowControl w:val="0"/>
              <w:spacing w:line="300" w:lineRule="exact"/>
              <w:ind w:firstLine="0"/>
              <w:rPr>
                <w:rFonts w:ascii="宋体" w:hAnsi="宋体" w:eastAsia="宋体" w:cs="宋体"/>
                <w:kern w:val="2"/>
                <w:sz w:val="21"/>
                <w:szCs w:val="21"/>
                <w:highlight w:val="none"/>
              </w:rPr>
            </w:pPr>
          </w:p>
        </w:tc>
        <w:tc>
          <w:tcPr>
            <w:tcW w:w="42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00" w:lineRule="exact"/>
              <w:ind w:firstLine="0"/>
              <w:rPr>
                <w:rFonts w:ascii="宋体" w:hAnsi="宋体" w:eastAsia="宋体" w:cs="宋体"/>
                <w:kern w:val="2"/>
                <w:sz w:val="21"/>
                <w:szCs w:val="21"/>
                <w:highlight w:val="none"/>
              </w:rPr>
            </w:pPr>
            <w:r>
              <w:rPr>
                <w:rFonts w:ascii="宋体" w:hAnsi="宋体" w:eastAsia="宋体" w:cs="宋体"/>
                <w:kern w:val="2"/>
                <w:sz w:val="21"/>
                <w:szCs w:val="21"/>
                <w:highlight w:val="none"/>
              </w:rPr>
              <w:t>《中华人民共和国野生动物保护法》第二十七条、第二十九条、第三十条。</w:t>
            </w:r>
          </w:p>
        </w:tc>
        <w:tc>
          <w:tcPr>
            <w:tcW w:w="787"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line="360" w:lineRule="exact"/>
              <w:ind w:firstLine="0"/>
              <w:rPr>
                <w:rFonts w:ascii="宋体" w:hAnsi="宋体" w:eastAsia="宋体" w:cs="宋体"/>
                <w:kern w:val="2"/>
                <w:sz w:val="21"/>
                <w:szCs w:val="21"/>
                <w:highlight w:val="none"/>
              </w:rPr>
            </w:pPr>
          </w:p>
        </w:tc>
      </w:tr>
    </w:tbl>
    <w:p>
      <w:pPr>
        <w:pStyle w:val="4"/>
      </w:pPr>
    </w:p>
    <w:sectPr>
      <w:pgSz w:w="16838" w:h="11906" w:orient="landscape"/>
      <w:pgMar w:top="1800" w:right="1440" w:bottom="1800" w:left="1440" w:header="0" w:footer="0" w:gutter="0"/>
      <w:pgNumType w:fmt="decimal"/>
      <w:cols w:space="720" w:num="1"/>
      <w:formProt w:val="0"/>
      <w:docGrid w:type="lines" w:linePitch="312" w:charSpace="61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方正小标宋_GBK">
    <w:panose1 w:val="02000000000000000000"/>
    <w:charset w:val="86"/>
    <w:family w:val="roman"/>
    <w:pitch w:val="default"/>
    <w:sig w:usb0="A00002BF" w:usb1="38CF7CFA" w:usb2="00082016" w:usb3="00000000" w:csb0="00040001" w:csb1="00000000"/>
    <w:embedRegular r:id="rId1" w:fontKey="{520E1E5C-412F-4BE6-B025-05E76DE6544A}"/>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autoHyphenation/>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ZDFiNTYwODFlNDM1MGMzZjNmOWVmYzQ4NmEwYzIifQ=="/>
  </w:docVars>
  <w:rsids>
    <w:rsidRoot w:val="00000000"/>
    <w:rsid w:val="11313FCD"/>
    <w:rsid w:val="236C146A"/>
    <w:rsid w:val="58085498"/>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30"/>
      <w:szCs w:val="30"/>
      <w:lang w:val="en-US" w:eastAsia="zh-CN" w:bidi="ar-SA"/>
    </w:rPr>
  </w:style>
  <w:style w:type="paragraph" w:customStyle="1" w:styleId="5">
    <w:name w:val="样式1"/>
    <w:basedOn w:val="4"/>
    <w:qFormat/>
    <w:uiPriority w:val="0"/>
    <w:pPr>
      <w:snapToGrid w:val="0"/>
      <w:spacing w:line="590" w:lineRule="exact"/>
      <w:ind w:firstLine="0"/>
    </w:pPr>
    <w:rPr>
      <w:rFonts w:ascii="方正黑体_GBK" w:hAnsi="方正黑体_GBK" w:eastAsia="方正黑体_GBK"/>
      <w:kern w:val="0"/>
      <w:sz w:val="32"/>
      <w:szCs w:val="32"/>
    </w:rPr>
  </w:style>
  <w:style w:type="paragraph" w:customStyle="1" w:styleId="6">
    <w:name w:val="样式2"/>
    <w:basedOn w:val="4"/>
    <w:qFormat/>
    <w:uiPriority w:val="0"/>
    <w:pPr>
      <w:snapToGrid w:val="0"/>
      <w:spacing w:line="590" w:lineRule="exact"/>
      <w:ind w:firstLine="0"/>
    </w:pPr>
    <w:rPr>
      <w:rFonts w:ascii="方正楷体_GBK" w:hAnsi="方正楷体_GBK" w:eastAsia="方正楷体_GBK"/>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629</Words>
  <Characters>634</Characters>
  <Paragraphs>61</Paragraphs>
  <TotalTime>1</TotalTime>
  <ScaleCrop>false</ScaleCrop>
  <LinksUpToDate>false</LinksUpToDate>
  <CharactersWithSpaces>637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2020-09-11T02:14:00Z</dcterms:created>
  <dc:creator>서 정</dc:creator>
  <cp:lastModifiedBy>张xq</cp:lastModifiedBy>
  <cp:lastPrinted>2020-08-13T03:42:00Z</cp:lastPrinted>
  <dcterms:modified xsi:type="dcterms:W3CDTF">2023-05-26T02:58:28Z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F7EA222E65E240978EE849C736236FF7</vt:lpwstr>
  </property>
</Properties>
</file>