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6443D">
      <w:pPr>
        <w:jc w:val="center"/>
        <w:rPr>
          <w:rFonts w:ascii="方正小标宋_GBK" w:hAnsi="方正小标宋_GBK" w:eastAsia="方正小标宋_GBK" w:cs="方正小标宋_GBK"/>
          <w:bCs/>
          <w:color w:val="FF0000"/>
          <w:w w:val="66"/>
          <w:sz w:val="84"/>
          <w:szCs w:val="84"/>
        </w:rPr>
      </w:pPr>
      <w:r>
        <w:rPr>
          <w:rFonts w:hint="eastAsia" w:ascii="方正小标宋_GBK" w:hAnsi="方正小标宋_GBK" w:eastAsia="方正小标宋_GBK" w:cs="方正小标宋_GBK"/>
          <w:bCs/>
          <w:color w:val="FF0000"/>
          <w:w w:val="66"/>
          <w:sz w:val="84"/>
          <w:szCs w:val="84"/>
        </w:rPr>
        <w:t>中共右玉县委全面依法治县委员会</w:t>
      </w:r>
    </w:p>
    <w:p w14:paraId="7385D59F">
      <w:pPr>
        <w:spacing w:line="1200" w:lineRule="exact"/>
        <w:jc w:val="center"/>
        <w:rPr>
          <w:rFonts w:ascii="方正小标宋_GBK" w:hAnsi="方正小标宋_GBK" w:eastAsia="方正小标宋_GBK" w:cs="方正小标宋_GBK"/>
          <w:bCs/>
          <w:color w:val="FF0000"/>
          <w:spacing w:val="100"/>
          <w:sz w:val="100"/>
          <w:szCs w:val="100"/>
        </w:rPr>
      </w:pPr>
      <w:r>
        <w:rPr>
          <w:rFonts w:hint="eastAsia" w:ascii="方正小标宋_GBK" w:hAnsi="方正小标宋_GBK" w:eastAsia="方正小标宋_GBK" w:cs="方正小标宋_GBK"/>
          <w:bCs/>
          <w:color w:val="FF0000"/>
          <w:spacing w:val="100"/>
          <w:sz w:val="100"/>
          <w:szCs w:val="100"/>
        </w:rPr>
        <w:t>办公室文件</w:t>
      </w:r>
    </w:p>
    <w:p w14:paraId="1EFCFE74">
      <w:pPr>
        <w:spacing w:line="640" w:lineRule="exact"/>
        <w:jc w:val="center"/>
        <w:rPr>
          <w:color w:val="000000"/>
          <w:sz w:val="32"/>
          <w:szCs w:val="32"/>
        </w:rPr>
      </w:pPr>
    </w:p>
    <w:p w14:paraId="7A6EB49B">
      <w:pPr>
        <w:spacing w:line="640" w:lineRule="exact"/>
        <w:jc w:val="center"/>
        <w:rPr>
          <w:rFonts w:ascii="仿宋_GB2312" w:eastAsia="仿宋_GB2312"/>
          <w:color w:val="000000"/>
          <w:sz w:val="32"/>
          <w:szCs w:val="32"/>
        </w:rPr>
      </w:pPr>
      <w:r>
        <w:rPr>
          <w:rFonts w:hint="eastAsia" w:ascii="仿宋_GB2312" w:eastAsia="仿宋_GB2312"/>
          <w:color w:val="000000"/>
          <w:sz w:val="32"/>
          <w:szCs w:val="32"/>
        </w:rPr>
        <w:t>右法治办〔202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号</w:t>
      </w:r>
    </w:p>
    <w:p w14:paraId="5D5E0FA2">
      <w:pPr>
        <w:spacing w:line="640" w:lineRule="exact"/>
        <w:jc w:val="center"/>
        <w:rPr>
          <w:rFonts w:ascii="方正小标宋_GBK" w:eastAsia="方正小标宋_GBK"/>
          <w:sz w:val="44"/>
          <w:szCs w:val="44"/>
        </w:rPr>
      </w:pPr>
      <w: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43815</wp:posOffset>
                </wp:positionV>
                <wp:extent cx="5772150" cy="952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flip:y;margin-left:-1.6pt;margin-top:3.45pt;height:0.75pt;width:454.5pt;z-index:251661312;mso-width-relative:page;mso-height-relative:page;" filled="f" stroked="t" coordsize="21600,21600" o:gfxdata="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2hCB9cAAAAGAQAADwAAAAAAAAABACAAAAAiAAAAZHJzL2Rvd25yZXYueG1sUEsBAhQA&#10;FAAAAAgAh07iQK61LUHzAQAAxgMAAA4AAAAAAAAAAQAgAAAAJgEAAGRycy9lMm9Eb2MueG1sUEsF&#10;BgAAAAAGAAYAWQEAAIsFAAAAAA==&#10;">
                <v:fill on="f" focussize="0,0"/>
                <v:stroke weight="1.75pt" color="#FF0000" joinstyle="round"/>
                <v:imagedata o:title=""/>
                <o:lock v:ext="edit" aspectratio="f"/>
              </v:line>
            </w:pict>
          </mc:Fallback>
        </mc:AlternateContent>
      </w:r>
      <w:r>
        <w:rPr>
          <w:color w:val="000000"/>
          <w:sz w:val="32"/>
          <w:szCs w:val="32"/>
        </w:rPr>
        <w:t xml:space="preserve"> </w:t>
      </w:r>
    </w:p>
    <w:p w14:paraId="1CF0B18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关于印发</w:t>
      </w:r>
      <w:r>
        <w:rPr>
          <w:rFonts w:hint="eastAsia" w:ascii="方正小标宋_GBK" w:eastAsia="方正小标宋_GBK"/>
          <w:sz w:val="44"/>
          <w:szCs w:val="44"/>
          <w:lang w:eastAsia="zh-CN"/>
        </w:rPr>
        <w:t>《</w:t>
      </w:r>
      <w:r>
        <w:rPr>
          <w:rFonts w:hint="eastAsia" w:ascii="方正小标宋_GBK" w:eastAsia="方正小标宋_GBK"/>
          <w:sz w:val="44"/>
          <w:szCs w:val="44"/>
        </w:rPr>
        <w:t>关于加快推进行政执法协调监督</w:t>
      </w:r>
    </w:p>
    <w:p w14:paraId="56D6668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仿宋_GB2312" w:eastAsia="仿宋_GB2312"/>
          <w:sz w:val="32"/>
          <w:szCs w:val="32"/>
          <w:lang w:val="en-US"/>
        </w:rPr>
      </w:pPr>
      <w:r>
        <w:rPr>
          <w:rFonts w:hint="eastAsia" w:ascii="方正小标宋_GBK" w:eastAsia="方正小标宋_GBK"/>
          <w:sz w:val="44"/>
          <w:szCs w:val="44"/>
        </w:rPr>
        <w:t>工作体系建设的实施意见</w:t>
      </w:r>
      <w:r>
        <w:rPr>
          <w:rFonts w:hint="eastAsia" w:ascii="方正小标宋_GBK" w:eastAsia="方正小标宋_GBK"/>
          <w:sz w:val="44"/>
          <w:szCs w:val="44"/>
          <w:lang w:eastAsia="zh-CN"/>
        </w:rPr>
        <w:t>》</w:t>
      </w:r>
      <w:r>
        <w:rPr>
          <w:rFonts w:hint="eastAsia" w:ascii="方正小标宋_GBK" w:eastAsia="方正小标宋_GBK"/>
          <w:sz w:val="44"/>
          <w:szCs w:val="44"/>
          <w:lang w:val="en-US" w:eastAsia="zh-CN"/>
        </w:rPr>
        <w:t>的通知</w:t>
      </w:r>
    </w:p>
    <w:p w14:paraId="1E4D3798">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32"/>
          <w:szCs w:val="32"/>
        </w:rPr>
      </w:pPr>
    </w:p>
    <w:p w14:paraId="0C07B717">
      <w:pPr>
        <w:spacing w:line="640" w:lineRule="exact"/>
        <w:rPr>
          <w:rFonts w:ascii="仿宋_GB2312" w:eastAsia="仿宋_GB2312"/>
          <w:sz w:val="32"/>
          <w:szCs w:val="32"/>
        </w:rPr>
      </w:pPr>
      <w:r>
        <w:rPr>
          <w:rFonts w:hint="eastAsia" w:ascii="仿宋_GB2312" w:eastAsia="仿宋_GB2312"/>
          <w:sz w:val="32"/>
          <w:szCs w:val="32"/>
        </w:rPr>
        <w:t>各乡（镇）、杀虎口风景名胜区、城镇居民服务中心，各有关单位：</w:t>
      </w:r>
    </w:p>
    <w:p w14:paraId="7F6CE75D">
      <w:pPr>
        <w:spacing w:line="640" w:lineRule="exact"/>
        <w:ind w:firstLine="645"/>
        <w:rPr>
          <w:rFonts w:hint="eastAsia" w:ascii="仿宋_GB2312" w:eastAsia="仿宋_GB2312"/>
          <w:sz w:val="32"/>
          <w:szCs w:val="32"/>
        </w:rPr>
      </w:pPr>
      <w:r>
        <w:rPr>
          <w:rFonts w:hint="eastAsia" w:ascii="仿宋_GB2312" w:eastAsia="仿宋_GB2312"/>
          <w:sz w:val="32"/>
          <w:szCs w:val="32"/>
        </w:rPr>
        <w:t>现将《关于加快推进行政执法协调监督工作体系建设的实施意见》印发你们，请认真贯彻落实。</w:t>
      </w:r>
    </w:p>
    <w:p w14:paraId="159B4C0F">
      <w:pPr>
        <w:spacing w:line="640" w:lineRule="exact"/>
        <w:ind w:right="320" w:firstLine="645"/>
        <w:jc w:val="right"/>
        <w:rPr>
          <w:rFonts w:ascii="仿宋_GB2312" w:eastAsia="仿宋_GB2312"/>
          <w:sz w:val="32"/>
          <w:szCs w:val="32"/>
        </w:rPr>
      </w:pPr>
    </w:p>
    <w:p w14:paraId="5C362F12">
      <w:pPr>
        <w:spacing w:line="640" w:lineRule="exact"/>
        <w:ind w:right="320" w:firstLine="645"/>
        <w:jc w:val="right"/>
        <w:rPr>
          <w:rFonts w:ascii="仿宋_GB2312" w:eastAsia="仿宋_GB2312"/>
          <w:sz w:val="32"/>
          <w:szCs w:val="32"/>
        </w:rPr>
      </w:pPr>
      <w:r>
        <w:rPr>
          <w:rFonts w:hint="eastAsia" w:ascii="仿宋_GB2312" w:eastAsia="仿宋_GB2312"/>
          <w:sz w:val="32"/>
          <w:szCs w:val="32"/>
        </w:rPr>
        <w:t>中共右玉县委全面依法治县委员会办公室</w:t>
      </w:r>
    </w:p>
    <w:p w14:paraId="70687E67">
      <w:pPr>
        <w:spacing w:line="640" w:lineRule="exact"/>
        <w:ind w:right="1280" w:firstLine="645"/>
        <w:jc w:val="right"/>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p>
    <w:p w14:paraId="5DACAF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rPr>
      </w:pPr>
    </w:p>
    <w:p w14:paraId="23EFB9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ABB29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4EB2E7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188D799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右玉县委全面依法治县委员会办公室</w:t>
      </w:r>
    </w:p>
    <w:p w14:paraId="4F1B239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eastAsia="方正小标宋_GBK"/>
          <w:sz w:val="44"/>
          <w:szCs w:val="44"/>
        </w:rPr>
      </w:pPr>
      <w:bookmarkStart w:id="0" w:name="OLE_LINK7"/>
      <w:r>
        <w:rPr>
          <w:rFonts w:hint="eastAsia" w:ascii="方正小标宋_GBK" w:eastAsia="方正小标宋_GBK"/>
          <w:sz w:val="44"/>
          <w:szCs w:val="44"/>
        </w:rPr>
        <w:t>关于加快推进行政执法协调监督工作体系</w:t>
      </w:r>
    </w:p>
    <w:p w14:paraId="21DE77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 w:hAnsi="楷体" w:eastAsia="楷体_GB2312" w:cs="仿宋"/>
          <w:lang w:eastAsia="zh-CN"/>
        </w:rPr>
      </w:pPr>
      <w:r>
        <w:rPr>
          <w:rFonts w:hint="eastAsia" w:ascii="方正小标宋_GBK" w:eastAsia="方正小标宋_GBK"/>
          <w:sz w:val="44"/>
          <w:szCs w:val="44"/>
        </w:rPr>
        <w:t>建设的实施意见</w:t>
      </w:r>
      <w:bookmarkEnd w:id="0"/>
      <w:r>
        <w:rPr>
          <w:rFonts w:hint="eastAsia" w:ascii="楷体_GB2312" w:hAnsi="楷体_GB2312" w:eastAsia="楷体_GB2312" w:cs="楷体_GB2312"/>
          <w:lang w:eastAsia="zh-CN"/>
        </w:rPr>
        <w:tab/>
      </w:r>
    </w:p>
    <w:p w14:paraId="7C2FA9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04E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为深入贯彻《中共中央办公厅 国务院办公厅关于加强行政执法协调监督工作体系建设的意见》(中办发</w:t>
      </w:r>
      <w:bookmarkStart w:id="1" w:name="OLE_LINK3"/>
      <w:r>
        <w:rPr>
          <w:rFonts w:hint="eastAsia" w:ascii="仿宋_GB2312" w:hAnsi="仿宋_GB2312" w:eastAsia="仿宋_GB2312" w:cs="仿宋_GB2312"/>
          <w:sz w:val="32"/>
          <w:szCs w:val="32"/>
        </w:rPr>
        <w:t>〔2024〕</w:t>
      </w:r>
      <w:bookmarkEnd w:id="1"/>
      <w:r>
        <w:rPr>
          <w:rFonts w:hint="eastAsia" w:ascii="仿宋_GB2312" w:hAnsi="仿宋_GB2312" w:eastAsia="仿宋_GB2312" w:cs="仿宋_GB2312"/>
          <w:sz w:val="32"/>
          <w:szCs w:val="32"/>
        </w:rPr>
        <w:t>14号)、山西省司法厅《关于加快推进全省行政执法协调监督工作体系建设工作举措》(晋司发〔2024〕62号)和朔州市委全面依法治市办《关于加快推进行政执法协调监督工作体系建设实施办法》精神，着力构建制度完善、机制健全、职责明确、监督有力、运转高效的行政执法监督工作体系，加快推进我县行政执法协调监督工作体系建设，制定以下实施意见。</w:t>
      </w:r>
    </w:p>
    <w:p w14:paraId="75252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一、建设权责清晰的行政执法监督组织体系</w:t>
      </w:r>
    </w:p>
    <w:p w14:paraId="59396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1.完善行政执法监督工作体制机制。</w:t>
      </w:r>
      <w:r>
        <w:rPr>
          <w:rFonts w:hint="eastAsia" w:ascii="仿宋_GB2312" w:hAnsi="仿宋_GB2312" w:eastAsia="仿宋_GB2312" w:cs="仿宋_GB2312"/>
          <w:sz w:val="32"/>
          <w:szCs w:val="32"/>
        </w:rPr>
        <w:t>县司法行政部门是县政府行政执法监督机构，承办本级政府对所属部门、派出机关、下级政府的行政执法工作监督事务，乡(镇)司法所协助县司法行政部门开展行政执法监督工作。各行政执法部门的法制机构或其他负责行政执法监督工作的机构，在本级司法行政部门指导下，承办本部门监督本行政区域内或主管行业的行政执法工作。县级以上地方政府可依法对设立在本行政区域内实行垂直管理或实行双重领导并以上级部门领导为主的行政执法部门遵守和执行法律、政策情况进行监督，对发现的问题及时告知该行政执法部门的上级主管部门。</w:t>
      </w:r>
    </w:p>
    <w:p w14:paraId="2A57F7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2.强化行政执法监督机构建设。</w:t>
      </w:r>
      <w:r>
        <w:rPr>
          <w:rFonts w:hint="eastAsia" w:ascii="仿宋_GB2312" w:hAnsi="仿宋_GB2312" w:eastAsia="仿宋_GB2312" w:cs="仿宋_GB2312"/>
          <w:sz w:val="32"/>
          <w:szCs w:val="32"/>
        </w:rPr>
        <w:t>落实司法行政部门承办本级政府承担行政执法监督具体事务的要求，强化政府层级监督的权威性和独立性。县司法行政部门要加强与机构编制管理部门沟通协调，研究执法监督机构挂牌以及机构和编制优化配置等情况，着力解决监督依据不充分、部门协调不顺畅、监督效果打折扣等问题，确保监督机构设置与所承担的职责相匹配。在沟通协调有关工作、制作相关文书等必要情形下，县司法行政部门可使用县政府行政执法协调监督局或县政府行政执法协调监督办公室的印章，并刻制政府行政执法监督专用章，严格程序，强化主体责任、监督责任。各行政执法部门要明确负责行政执法监督工作的专门机构，并于12月底前向县司法行政部门备案(见附件)。</w:t>
      </w:r>
    </w:p>
    <w:p w14:paraId="19F5F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3.明确行政执法监督边界。</w:t>
      </w:r>
      <w:r>
        <w:rPr>
          <w:rFonts w:hint="eastAsia" w:ascii="仿宋_GB2312" w:hAnsi="仿宋_GB2312" w:eastAsia="仿宋_GB2312" w:cs="仿宋_GB2312"/>
          <w:sz w:val="32"/>
          <w:szCs w:val="32"/>
        </w:rPr>
        <w:t>依法研究确定、细化行政执法监督工作机构职责，明确履职方式和工作责任。司法行政部门侧重宏观监督，行政执法部门监督机构侧重个案监督。编制行政执法监督事项清单，明确行政执法监督主体、对象、权限和依据等内容，厘清职责边界、确保权责一致。</w:t>
      </w:r>
    </w:p>
    <w:p w14:paraId="6309FE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4.加强行政执法监督队伍建设。</w:t>
      </w:r>
      <w:r>
        <w:rPr>
          <w:rFonts w:hint="eastAsia" w:ascii="仿宋_GB2312" w:hAnsi="仿宋_GB2312" w:eastAsia="仿宋_GB2312" w:cs="仿宋_GB2312"/>
          <w:sz w:val="32"/>
          <w:szCs w:val="32"/>
        </w:rPr>
        <w:t>落实机构编制管理部门会同司法行政部门加强对司法行政系统现有编制资源统筹使用的要求，综合考虑区域面积、发展情况、人口规模、执法任务等因素，确定编制动态调整方案并组织实施。注重选配政治可靠、业务精通、作风过硬且具有法学教育背景或取得法律职业资格的人员从事行政执法监督工作，确保行政执法监督人员配备与所承担任务相适应。研究建立行政执法监督干部培训、培养交流机制，提升队伍工作能力和水平。各行政执法部门要根据《山西省行政执法条例》等规定，结合本单位实际，加强行政执法监督人员配备，采取行政执法监督措施时，行政执法监督人员不得少于二人。</w:t>
      </w:r>
    </w:p>
    <w:p w14:paraId="426496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二、建设制度完善的行政执法监督规范体系</w:t>
      </w:r>
    </w:p>
    <w:p w14:paraId="468FC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5.贯彻执行行政执法监督法规规定。</w:t>
      </w:r>
      <w:r>
        <w:rPr>
          <w:rFonts w:hint="eastAsia" w:ascii="仿宋_GB2312" w:hAnsi="仿宋_GB2312" w:eastAsia="仿宋_GB2312" w:cs="仿宋_GB2312"/>
          <w:sz w:val="32"/>
          <w:szCs w:val="32"/>
        </w:rPr>
        <w:t>各行政执法部门要采取对接上级部门、学习先进经验等多种方式，加强《山西省行政执法条例》《山西省重大行政处罚决定备案办法》《山西省规范行政执法裁量权办法》《山西省行政执法证件管理办法》《山西省行政执法检查规定》《山西省行政执法责任制规定》《山西省行政执法案卷评查规定》等“1法规5规章1文件”的学习，并认真贯彻落实。</w:t>
      </w:r>
    </w:p>
    <w:p w14:paraId="2CF24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6.健全行政执法监督制度。</w:t>
      </w:r>
      <w:r>
        <w:rPr>
          <w:rFonts w:hint="eastAsia" w:ascii="仿宋_GB2312" w:hAnsi="仿宋_GB2312" w:eastAsia="仿宋_GB2312" w:cs="仿宋_GB2312"/>
          <w:sz w:val="32"/>
          <w:szCs w:val="32"/>
        </w:rPr>
        <w:t>各行政执法部门要扛起规范执法第一责任人职责，结合实际研究制定本地本部门规范行政执法和行政执法监督的相关制度，进一步规范行政执法监督的权限、内容、方式、程序和责任等内容，逐步形成覆盖各层级、各领域的行政执法监督制度体系。要健全行政许可、行政处罚、行政强制、行政检查、行政征收征用、行政给付等方面的执法制度出，完善行政执法程序;要根据朔州市地方性法规、政府规章立改废情况，常态化开展行政裁量权基准制定和管理，推动行政裁量权规范行使；要完善落实《山西省行政执法条例》第五条规定的行政执法公示、执法全过程记录、重大执法决定法制审核行政执法“三项制</w:t>
      </w:r>
      <w:bookmarkStart w:id="2" w:name="OLE_LINK1"/>
      <w:r>
        <w:rPr>
          <w:rFonts w:hint="eastAsia" w:ascii="仿宋_GB2312" w:hAnsi="仿宋_GB2312" w:eastAsia="仿宋_GB2312" w:cs="仿宋_GB2312"/>
          <w:sz w:val="32"/>
          <w:szCs w:val="32"/>
        </w:rPr>
        <w:t>度”</w:t>
      </w:r>
      <w:bookmarkEnd w:id="2"/>
      <w:r>
        <w:rPr>
          <w:rFonts w:hint="eastAsia" w:ascii="仿宋_GB2312" w:hAnsi="仿宋_GB2312" w:eastAsia="仿宋_GB2312" w:cs="仿宋_GB2312"/>
          <w:sz w:val="32"/>
          <w:szCs w:val="32"/>
        </w:rPr>
        <w:t>；要严格落实行政主体确认、行政执法人员资格管理、行政执法事项目录管理制度，推进行政执法规范化建设。</w:t>
      </w:r>
    </w:p>
    <w:p w14:paraId="2F0FA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三、建设权威高效的行政执法监督实施体系</w:t>
      </w:r>
    </w:p>
    <w:p w14:paraId="223D5D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7.做好行政执法常态化监督。</w:t>
      </w:r>
      <w:r>
        <w:rPr>
          <w:rFonts w:hint="eastAsia" w:ascii="仿宋_GB2312" w:hAnsi="仿宋_GB2312" w:eastAsia="仿宋_GB2312" w:cs="仿宋_GB2312"/>
          <w:sz w:val="32"/>
          <w:szCs w:val="32"/>
        </w:rPr>
        <w:t>县司法行政部门要于每年第一季度制定年度行政执法监督工作方案，综合运用行政执法工作报告、统计分析、评议考核、案卷评查、案例指导等方式，对本地区行政执法工作开展经常性监督，行政执法监督工作方案要报上一级司法行政部门备案。各行政执法部门要按照县司法行政部门制定的行政执法监督工作方案，对本行政区域内主管行业的行政执法工作开展监督并提交监督工作报告。</w:t>
      </w:r>
    </w:p>
    <w:p w14:paraId="4F2524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8.抓好行政执法专项监督。</w:t>
      </w:r>
      <w:r>
        <w:rPr>
          <w:rFonts w:hint="eastAsia" w:ascii="仿宋_GB2312" w:hAnsi="仿宋_GB2312" w:eastAsia="仿宋_GB2312" w:cs="仿宋_GB2312"/>
          <w:sz w:val="32"/>
          <w:szCs w:val="32"/>
        </w:rPr>
        <w:t>要聚焦食品药品、安全生产、生态环境、医疗卫生、劳动保障等重点执法领域、社会反映强烈以及行政复议和行政诉讼纠错案件比较集中的重点执法领域，开展专项监督。对重要法律、法规、规章的执行情况，组织行政执法检查。开展专项监督和执法检查时，可以统筹组织和调配司法行政部门和行政执法部门监督机构的行政执法监督人员。</w:t>
      </w:r>
    </w:p>
    <w:p w14:paraId="007CA3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9.推进涉企行政执法监督。</w:t>
      </w:r>
      <w:r>
        <w:rPr>
          <w:rFonts w:hint="eastAsia" w:ascii="仿宋_GB2312" w:hAnsi="仿宋_GB2312" w:eastAsia="仿宋_GB2312" w:cs="仿宋_GB2312"/>
          <w:sz w:val="32"/>
          <w:szCs w:val="32"/>
        </w:rPr>
        <w:t>各行政执法部门要持续推广包容免罚模式，依法编制从轻处罚、减轻处罚和首次轻微违法免予处罚事项清单并动态调整。县司法行政部门要强化对行政执法工作的日常监督，建立行政执法监督联系点，根据企业意见建议和投诉举报，加强对涉企行政执法行为的监督。推行“企业安静期”制度，减少涉企执法检查次数，规范涉企执法检查行为，维护企业合法权益。</w:t>
      </w:r>
    </w:p>
    <w:p w14:paraId="76AD75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10.强化对行政执法工作的综合协调。</w:t>
      </w:r>
      <w:r>
        <w:rPr>
          <w:rFonts w:hint="eastAsia" w:ascii="仿宋_GB2312" w:hAnsi="仿宋_GB2312" w:eastAsia="仿宋_GB2312" w:cs="仿宋_GB2312"/>
          <w:sz w:val="32"/>
          <w:szCs w:val="32"/>
        </w:rPr>
        <w:t>县司法行政部门履行行政执法体制改革法制审核协调职责，组织有关行政执法部门根据权责清单，明确执法事项和依据，并实行目录清单管理。对行政许可、行政处罚等执法权下放、转移、取消开展法制审核协调，协助做好跨领域跨部门综合执法改革以及基层综合执法改革的指导。</w:t>
      </w:r>
    </w:p>
    <w:p w14:paraId="606E5E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11.加强行政执法监督创新。</w:t>
      </w:r>
      <w:r>
        <w:rPr>
          <w:rFonts w:hint="eastAsia" w:ascii="仿宋_GB2312" w:hAnsi="仿宋_GB2312" w:eastAsia="仿宋_GB2312" w:cs="仿宋_GB2312"/>
          <w:sz w:val="32"/>
          <w:szCs w:val="32"/>
        </w:rPr>
        <w:t>要通过“试点先行、示范带动、整体推进”的方式，创新监督方式、延伸监督触角、提升监督质效。制订行政执法投诉制度，抓紧开展行政执法监督员制度，有效引入社会力量依法有序参与行政执法监督；要开展行政执法监督与12345政务服务便民热线、网络媒体等监督渠道信息共享合作机制试点，汇集统筹行政执法监督信息线索，提高行政执法监督的主动性、协同性和实效性。</w:t>
      </w:r>
    </w:p>
    <w:p w14:paraId="1E8033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四、建设机制健全的行政执法监督协同体系</w:t>
      </w:r>
    </w:p>
    <w:p w14:paraId="4B26C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12.建立行政执法监督工作会商机制。</w:t>
      </w:r>
      <w:r>
        <w:rPr>
          <w:rFonts w:hint="eastAsia" w:ascii="仿宋_GB2312" w:hAnsi="仿宋_GB2312" w:eastAsia="仿宋_GB2312" w:cs="仿宋_GB2312"/>
          <w:sz w:val="32"/>
          <w:szCs w:val="32"/>
        </w:rPr>
        <w:t>建立由县司法行政部门牵头，县公务员管理、政务信息管理、发展和改革、财政及有关行政执法部门等参加的右玉县推进行政执法监督工作体系建设工作专班会商机制，加强对行政执法的统筹协调和督促指导。</w:t>
      </w:r>
    </w:p>
    <w:p w14:paraId="03C468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13.强化政府监督与部门监督的协调联动机制。</w:t>
      </w:r>
      <w:r>
        <w:rPr>
          <w:rFonts w:hint="eastAsia" w:ascii="仿宋_GB2312" w:hAnsi="仿宋_GB2312" w:eastAsia="仿宋_GB2312" w:cs="仿宋_GB2312"/>
          <w:sz w:val="32"/>
          <w:szCs w:val="32"/>
        </w:rPr>
        <w:t>县司法行政部门要与行政执法部门监督机构加强协调联动，督促指导行政执法部门监督机构做好本行政区域或主管行业的行政执法监督工作，形成行政执法监督互联互通、互促互进的工作格局。</w:t>
      </w:r>
    </w:p>
    <w:p w14:paraId="6A62F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14.建立执法监督与其他监督的协作机制。</w:t>
      </w:r>
      <w:r>
        <w:rPr>
          <w:rFonts w:hint="eastAsia" w:ascii="仿宋_GB2312" w:hAnsi="仿宋_GB2312" w:eastAsia="仿宋_GB2312" w:cs="仿宋_GB2312"/>
          <w:sz w:val="32"/>
          <w:szCs w:val="32"/>
        </w:rPr>
        <w:t>行政执法监督机构与纪检监察机关要加强工作衔接，发现行政执法人员涉嫌违纪或职务违法、职务犯罪问题的线索，依规依纪依法及时移送纪检监察机关。加强行政执法监督与行政审判、行政复议的联动机制，强化对重点执法领域的指导，共同规范行政执法行为。建立行政执法监督与法治督察、政府督查、备案审查等协作机制，共同开展重点执法领域专项监督，规范行政执法工作。各行政执法部门要健全行政执法与刑事司法衔接机制，加强与公安机关、检察机关、审判机关之间的协作配合，</w:t>
      </w:r>
      <w:bookmarkStart w:id="3" w:name="OLE_LINK4"/>
      <w:bookmarkStart w:id="4" w:name="OLE_LINK2"/>
      <w:r>
        <w:rPr>
          <w:rFonts w:hint="eastAsia" w:ascii="仿宋_GB2312" w:hAnsi="仿宋_GB2312" w:eastAsia="仿宋_GB2312" w:cs="仿宋_GB2312"/>
          <w:sz w:val="32"/>
          <w:szCs w:val="32"/>
        </w:rPr>
        <w:t>贯彻落实《山西省行政执法与刑事司法衔接工作办法(试行)》</w:t>
      </w:r>
      <w:bookmarkEnd w:id="3"/>
      <w:bookmarkEnd w:id="4"/>
      <w:r>
        <w:rPr>
          <w:rFonts w:hint="eastAsia" w:ascii="仿宋_GB2312" w:hAnsi="仿宋_GB2312" w:eastAsia="仿宋_GB2312" w:cs="仿宋_GB2312"/>
          <w:sz w:val="32"/>
          <w:szCs w:val="32"/>
        </w:rPr>
        <w:t xml:space="preserve">。 </w:t>
      </w:r>
    </w:p>
    <w:p w14:paraId="48CBFA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15.加强行政执法监督结果运用。</w:t>
      </w:r>
      <w:r>
        <w:rPr>
          <w:rFonts w:hint="eastAsia" w:ascii="仿宋_GB2312" w:hAnsi="仿宋_GB2312" w:eastAsia="仿宋_GB2312" w:cs="仿宋_GB2312"/>
          <w:sz w:val="32"/>
          <w:szCs w:val="32"/>
        </w:rPr>
        <w:t>把行政执法监督结果作为推进法治建设第一责任人履职情况督察、法治政府建设示范创建的重要内容，作为依法决策、推进行政立法的重要参考。加强行政执法监督机构与组织人事等部门的工作协调，将行政执法监督结果及评议考核、绩效评估情况，作为干部选拔任用、表彰奖励、职级晋升等的重要参考。</w:t>
      </w:r>
    </w:p>
    <w:p w14:paraId="198E4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五、建设支撑有力的行政执法监督数字治理体系</w:t>
      </w:r>
    </w:p>
    <w:p w14:paraId="124287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16.强化行政执法和行政执法监督信息系统应用。</w:t>
      </w:r>
      <w:r>
        <w:rPr>
          <w:rFonts w:hint="eastAsia" w:ascii="仿宋_GB2312" w:hAnsi="仿宋_GB2312" w:eastAsia="仿宋_GB2312" w:cs="仿宋_GB2312"/>
          <w:sz w:val="32"/>
          <w:szCs w:val="32"/>
        </w:rPr>
        <w:t>按照“省集中部署、省市县乡四级一体化应用”方式，加强行政执法和行政执法监督一体化平台应用，推进行政执法和执法监督数字化建设。</w:t>
      </w:r>
    </w:p>
    <w:p w14:paraId="338B2E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17.推进行政执法数据互联互通。</w:t>
      </w:r>
      <w:r>
        <w:rPr>
          <w:rFonts w:hint="eastAsia" w:ascii="仿宋_GB2312" w:hAnsi="仿宋_GB2312" w:eastAsia="仿宋_GB2312" w:cs="仿宋_GB2312"/>
          <w:sz w:val="32"/>
          <w:szCs w:val="32"/>
        </w:rPr>
        <w:t>各行政执法部门要加强执法数据互联互通，建立健全行政执法数据归集共享机制，推进行政执法数据资源的有效整合、共享和交换。要积极配合，确保将本系统本单位行政执法数据与行政执法和行政执法监督一体化平台互联互通，加强行政执法数据分析应用，为政府决策、行政立法及改进行政执法工作提供有力支撑。</w:t>
      </w:r>
    </w:p>
    <w:p w14:paraId="79BB87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六、工作要求</w:t>
      </w:r>
    </w:p>
    <w:p w14:paraId="5193B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（一）强化组织实施。</w:t>
      </w:r>
      <w:r>
        <w:rPr>
          <w:rFonts w:hint="eastAsia" w:ascii="仿宋_GB2312" w:hAnsi="仿宋_GB2312" w:eastAsia="仿宋_GB2312" w:cs="仿宋_GB2312"/>
          <w:sz w:val="32"/>
          <w:szCs w:val="32"/>
        </w:rPr>
        <w:t>县司法行政部门、各乡（镇）、各行政执法部门要提高政治站位，挂图作战，倒排工期，抓好行政执法协调监督工作体系建设17项工作举措的落实。要跟踪了解有关情况，积极争取有关部门支持，协调解决重大问题，定期向县委、县政府报告工作情况。</w:t>
      </w:r>
    </w:p>
    <w:p w14:paraId="71BEB4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rPr>
        <w:t>（二）强化试点探索。</w:t>
      </w:r>
      <w:r>
        <w:rPr>
          <w:rFonts w:hint="eastAsia" w:ascii="仿宋_GB2312" w:hAnsi="仿宋_GB2312" w:eastAsia="仿宋_GB2312" w:cs="仿宋_GB2312"/>
          <w:sz w:val="32"/>
          <w:szCs w:val="32"/>
        </w:rPr>
        <w:t>要强化行政执法协调监督工作体系建设创新试点，找准突破口和着力点，发挥试点示范带动作用，推进工作落实落细。</w:t>
      </w:r>
    </w:p>
    <w:p w14:paraId="5BD3C2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rPr>
      </w:pPr>
      <w:r>
        <w:rPr>
          <w:rFonts w:hint="eastAsia" w:ascii="楷体_GB2312" w:hAnsi="楷体_GB2312" w:eastAsia="楷体_GB2312" w:cs="楷体_GB2312"/>
        </w:rPr>
        <w:t>（三）强化跟踪问效。</w:t>
      </w:r>
      <w:r>
        <w:rPr>
          <w:rFonts w:hint="eastAsia" w:ascii="仿宋_GB2312" w:hAnsi="仿宋_GB2312" w:eastAsia="仿宋_GB2312" w:cs="仿宋_GB2312"/>
          <w:sz w:val="32"/>
          <w:szCs w:val="32"/>
        </w:rPr>
        <w:t>县司法行政部门要围绕本《实</w:t>
      </w:r>
      <w:bookmarkStart w:id="5" w:name="OLE_LINK5"/>
      <w:r>
        <w:rPr>
          <w:rFonts w:hint="eastAsia" w:ascii="仿宋_GB2312" w:hAnsi="仿宋_GB2312" w:eastAsia="仿宋_GB2312" w:cs="仿宋_GB2312"/>
          <w:sz w:val="32"/>
          <w:szCs w:val="32"/>
        </w:rPr>
        <w:t>施意见》</w:t>
      </w:r>
      <w:bookmarkEnd w:id="5"/>
      <w:r>
        <w:rPr>
          <w:rFonts w:hint="eastAsia" w:ascii="仿宋_GB2312" w:hAnsi="仿宋_GB2312" w:eastAsia="仿宋_GB2312" w:cs="仿宋_GB2312"/>
          <w:sz w:val="32"/>
          <w:szCs w:val="32"/>
        </w:rPr>
        <w:t>要求，加强对行政执法协调监督工作体系建设的指导、协调和监督，确保各项任务落实到位。各乡（镇）、各行政执法部门务于12月底前将开展行政执法协调监督工作体系建设的工作情况、经验做法、取得的成效、问题建议报县委政法委（县司</w:t>
      </w:r>
      <w:bookmarkStart w:id="6" w:name="OLE_LINK6"/>
      <w:r>
        <w:rPr>
          <w:rFonts w:hint="eastAsia" w:ascii="仿宋_GB2312" w:hAnsi="仿宋_GB2312" w:eastAsia="仿宋_GB2312" w:cs="仿宋_GB2312"/>
          <w:sz w:val="32"/>
          <w:szCs w:val="32"/>
        </w:rPr>
        <w:t>法局）</w:t>
      </w:r>
      <w:bookmarkEnd w:id="6"/>
      <w:r>
        <w:rPr>
          <w:rFonts w:hint="eastAsia" w:ascii="仿宋_GB2312" w:hAnsi="仿宋_GB2312" w:eastAsia="仿宋_GB2312" w:cs="仿宋_GB2312"/>
          <w:sz w:val="32"/>
          <w:szCs w:val="32"/>
        </w:rPr>
        <w:t>行政执法协调监督室。</w:t>
      </w:r>
      <w:bookmarkStart w:id="7" w:name="_GoBack"/>
      <w:bookmarkEnd w:id="7"/>
    </w:p>
    <w:sectPr>
      <w:footerReference r:id="rId3" w:type="default"/>
      <w:footerReference r:id="rId4" w:type="even"/>
      <w:pgSz w:w="11906" w:h="16838"/>
      <w:pgMar w:top="170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F2C8D">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4873625</wp:posOffset>
              </wp:positionH>
              <wp:positionV relativeFrom="paragraph">
                <wp:posOffset>-74930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147453496"/>
                            <w:docPartObj>
                              <w:docPartGallery w:val="autotext"/>
                            </w:docPartObj>
                          </w:sdtPr>
                          <w:sdtEndPr>
                            <w:rPr>
                              <w:rFonts w:hint="default" w:ascii="Times New Roman" w:hAnsi="Times New Roman" w:cs="Times New Roman"/>
                              <w:sz w:val="28"/>
                              <w:szCs w:val="28"/>
                            </w:rPr>
                          </w:sdtEndPr>
                          <w:sdtContent>
                            <w:p w14:paraId="0C62612A">
                              <w:pPr>
                                <w:pStyle w:val="2"/>
                                <w:keepNext w:val="0"/>
                                <w:keepLines w:val="0"/>
                                <w:pageBreakBefore w:val="0"/>
                                <w:widowControl w:val="0"/>
                                <w:kinsoku/>
                                <w:wordWrap/>
                                <w:overflowPunct/>
                                <w:topLinePunct w:val="0"/>
                                <w:bidi w:val="0"/>
                                <w:adjustRightInd/>
                                <w:ind w:right="320" w:rightChars="10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sdtContent>
                        </w:sdt>
                        <w:p w14:paraId="51127A87">
                          <w:pPr>
                            <w:keepNext w:val="0"/>
                            <w:keepLines w:val="0"/>
                            <w:pageBreakBefore w:val="0"/>
                            <w:widowControl w:val="0"/>
                            <w:kinsoku/>
                            <w:wordWrap/>
                            <w:overflowPunct/>
                            <w:topLinePunct w:val="0"/>
                            <w:bidi w:val="0"/>
                            <w:adjustRightInd/>
                            <w:ind w:right="320" w:rightChars="100"/>
                            <w:textAlignment w:val="auto"/>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3.75pt;margin-top:-5.9pt;height:144pt;width:144pt;mso-position-horizontal-relative:margin;mso-wrap-style:none;z-index:251659264;mso-width-relative:page;mso-height-relative:page;" filled="f" stroked="f" coordsize="21600,21600" o:gfxdata="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nw2CN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sdt>
                    <w:sdtPr>
                      <w:rPr>
                        <w:rFonts w:hint="default" w:ascii="Times New Roman" w:hAnsi="Times New Roman" w:cs="Times New Roman"/>
                        <w:sz w:val="28"/>
                        <w:szCs w:val="28"/>
                      </w:rPr>
                      <w:id w:val="147453496"/>
                      <w:docPartObj>
                        <w:docPartGallery w:val="autotext"/>
                      </w:docPartObj>
                    </w:sdtPr>
                    <w:sdtEndPr>
                      <w:rPr>
                        <w:rFonts w:hint="default" w:ascii="Times New Roman" w:hAnsi="Times New Roman" w:cs="Times New Roman"/>
                        <w:sz w:val="28"/>
                        <w:szCs w:val="28"/>
                      </w:rPr>
                    </w:sdtEndPr>
                    <w:sdtContent>
                      <w:p w14:paraId="0C62612A">
                        <w:pPr>
                          <w:pStyle w:val="2"/>
                          <w:keepNext w:val="0"/>
                          <w:keepLines w:val="0"/>
                          <w:pageBreakBefore w:val="0"/>
                          <w:widowControl w:val="0"/>
                          <w:kinsoku/>
                          <w:wordWrap/>
                          <w:overflowPunct/>
                          <w:topLinePunct w:val="0"/>
                          <w:bidi w:val="0"/>
                          <w:adjustRightInd/>
                          <w:ind w:right="320" w:rightChars="100"/>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sdtContent>
                  </w:sdt>
                  <w:p w14:paraId="51127A87">
                    <w:pPr>
                      <w:keepNext w:val="0"/>
                      <w:keepLines w:val="0"/>
                      <w:pageBreakBefore w:val="0"/>
                      <w:widowControl w:val="0"/>
                      <w:kinsoku/>
                      <w:wordWrap/>
                      <w:overflowPunct/>
                      <w:topLinePunct w:val="0"/>
                      <w:bidi w:val="0"/>
                      <w:adjustRightInd/>
                      <w:ind w:right="320" w:rightChars="100"/>
                      <w:textAlignment w:val="auto"/>
                      <w:rPr>
                        <w:rFonts w:hint="default" w:ascii="Times New Roman" w:hAnsi="Times New Roman" w:cs="Times New Roman"/>
                        <w:sz w:val="28"/>
                        <w:szCs w:val="28"/>
                      </w:rPr>
                    </w:pPr>
                  </w:p>
                </w:txbxContent>
              </v:textbox>
            </v:shape>
          </w:pict>
        </mc:Fallback>
      </mc:AlternateContent>
    </w:r>
  </w:p>
  <w:p w14:paraId="4BCB2CD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E56D">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-227330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C6C2C">
                          <w:pPr>
                            <w:pStyle w:val="2"/>
                            <w:keepNext w:val="0"/>
                            <w:keepLines w:val="0"/>
                            <w:pageBreakBefore w:val="0"/>
                            <w:widowControl w:val="0"/>
                            <w:kinsoku/>
                            <w:wordWrap/>
                            <w:overflowPunct/>
                            <w:topLinePunct w:val="0"/>
                            <w:bidi w:val="0"/>
                            <w:adjustRightInd/>
                            <w:snapToGrid w:val="0"/>
                            <w:ind w:left="320" w:leftChars="100"/>
                            <w:textAlignment w:val="auto"/>
                            <w:rPr>
                              <w:rFonts w:hint="default" w:ascii="Times New Roman" w:hAnsi="Times New Roman" w:eastAsia="楷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7.9pt;height:144pt;width:144pt;mso-position-horizontal-relative:margin;mso-wrap-style:none;z-index:251660288;mso-width-relative:page;mso-height-relative:page;" filled="f" stroked="f" coordsize="21600,21600" o:gfxdata="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TLJ3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61AC6C2C">
                    <w:pPr>
                      <w:pStyle w:val="2"/>
                      <w:keepNext w:val="0"/>
                      <w:keepLines w:val="0"/>
                      <w:pageBreakBefore w:val="0"/>
                      <w:widowControl w:val="0"/>
                      <w:kinsoku/>
                      <w:wordWrap/>
                      <w:overflowPunct/>
                      <w:topLinePunct w:val="0"/>
                      <w:bidi w:val="0"/>
                      <w:adjustRightInd/>
                      <w:snapToGrid w:val="0"/>
                      <w:ind w:left="320" w:leftChars="100"/>
                      <w:textAlignment w:val="auto"/>
                      <w:rPr>
                        <w:rFonts w:hint="default" w:ascii="Times New Roman" w:hAnsi="Times New Roman" w:eastAsia="楷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NDU4OTk0Nzg2MDU2YzEyZGE2MDE1YzRhODU1NWIifQ=="/>
  </w:docVars>
  <w:rsids>
    <w:rsidRoot w:val="01EA70BD"/>
    <w:rsid w:val="00052A95"/>
    <w:rsid w:val="00057E55"/>
    <w:rsid w:val="000E554D"/>
    <w:rsid w:val="002C34EF"/>
    <w:rsid w:val="002C555D"/>
    <w:rsid w:val="002F2FEF"/>
    <w:rsid w:val="00341899"/>
    <w:rsid w:val="004C7FD2"/>
    <w:rsid w:val="009D353C"/>
    <w:rsid w:val="00A43D30"/>
    <w:rsid w:val="00B94FBF"/>
    <w:rsid w:val="00BB6122"/>
    <w:rsid w:val="00C5104F"/>
    <w:rsid w:val="00CC2057"/>
    <w:rsid w:val="00DB0F11"/>
    <w:rsid w:val="00FE4EC8"/>
    <w:rsid w:val="01EA70BD"/>
    <w:rsid w:val="03F55A09"/>
    <w:rsid w:val="046E029F"/>
    <w:rsid w:val="07EB263F"/>
    <w:rsid w:val="0979524B"/>
    <w:rsid w:val="0DF351FE"/>
    <w:rsid w:val="2D714D1A"/>
    <w:rsid w:val="40B21825"/>
    <w:rsid w:val="42456A3C"/>
    <w:rsid w:val="5DF06785"/>
    <w:rsid w:val="6D6A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cs="楷体" w:asciiTheme="minorHAnsi" w:hAnsiTheme="minorHAnsi"/>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eastAsia="楷体" w:cs="楷体"/>
      <w:kern w:val="2"/>
      <w:sz w:val="18"/>
      <w:szCs w:val="18"/>
    </w:rPr>
  </w:style>
  <w:style w:type="character" w:customStyle="1" w:styleId="9">
    <w:name w:val="页脚 Char"/>
    <w:basedOn w:val="6"/>
    <w:link w:val="2"/>
    <w:qFormat/>
    <w:uiPriority w:val="99"/>
    <w:rPr>
      <w:rFonts w:eastAsia="楷体" w:cs="楷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3880</Words>
  <Characters>3920</Characters>
  <Lines>27</Lines>
  <Paragraphs>7</Paragraphs>
  <TotalTime>1</TotalTime>
  <ScaleCrop>false</ScaleCrop>
  <LinksUpToDate>false</LinksUpToDate>
  <CharactersWithSpaces>3926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2024-10-08T07:45:00Z</dcterms:created>
  <dc:creator>晶晶</dc:creator>
  <cp:lastModifiedBy>-   裴先森  つ</cp:lastModifiedBy>
  <dcterms:modified xsi:type="dcterms:W3CDTF">2024-11-29T01:52:06Z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7486FB36746144F8AEB32DBDB55289DA_13</vt:lpwstr>
  </property>
</Properties>
</file>