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6443D">
      <w:pPr>
        <w:jc w:val="center"/>
        <w:rPr>
          <w:rFonts w:ascii="方正小标宋_GBK" w:hAnsi="方正小标宋_GBK" w:eastAsia="方正小标宋_GBK" w:cs="方正小标宋_GBK"/>
          <w:bCs/>
          <w:color w:val="FF0000"/>
          <w:w w:val="66"/>
          <w:sz w:val="84"/>
          <w:szCs w:val="84"/>
        </w:rPr>
      </w:pPr>
      <w:r>
        <w:rPr>
          <w:rFonts w:hint="eastAsia" w:ascii="方正小标宋_GBK" w:hAnsi="方正小标宋_GBK" w:eastAsia="方正小标宋_GBK" w:cs="方正小标宋_GBK"/>
          <w:bCs/>
          <w:color w:val="FF0000"/>
          <w:w w:val="66"/>
          <w:sz w:val="84"/>
          <w:szCs w:val="84"/>
        </w:rPr>
        <w:t>中共右玉县委全面依法治县委员会</w:t>
      </w:r>
    </w:p>
    <w:p w14:paraId="7385D59F">
      <w:pPr>
        <w:spacing w:line="1200" w:lineRule="exact"/>
        <w:jc w:val="center"/>
        <w:rPr>
          <w:rFonts w:ascii="方正小标宋_GBK" w:hAnsi="方正小标宋_GBK" w:eastAsia="方正小标宋_GBK" w:cs="方正小标宋_GBK"/>
          <w:bCs/>
          <w:color w:val="FF0000"/>
          <w:spacing w:val="100"/>
          <w:sz w:val="100"/>
          <w:szCs w:val="100"/>
        </w:rPr>
      </w:pPr>
      <w:r>
        <w:rPr>
          <w:rFonts w:hint="eastAsia" w:ascii="方正小标宋_GBK" w:hAnsi="方正小标宋_GBK" w:eastAsia="方正小标宋_GBK" w:cs="方正小标宋_GBK"/>
          <w:bCs/>
          <w:color w:val="FF0000"/>
          <w:spacing w:val="100"/>
          <w:sz w:val="100"/>
          <w:szCs w:val="100"/>
        </w:rPr>
        <w:t>办公室文件</w:t>
      </w:r>
    </w:p>
    <w:p w14:paraId="1EFCFE74">
      <w:pPr>
        <w:spacing w:line="640" w:lineRule="exact"/>
        <w:jc w:val="center"/>
        <w:rPr>
          <w:color w:val="000000"/>
          <w:sz w:val="32"/>
          <w:szCs w:val="32"/>
        </w:rPr>
      </w:pPr>
    </w:p>
    <w:p w14:paraId="7A6EB49B">
      <w:pPr>
        <w:spacing w:line="640" w:lineRule="exact"/>
        <w:jc w:val="center"/>
        <w:rPr>
          <w:rFonts w:ascii="仿宋_GB2312" w:eastAsia="仿宋_GB2312"/>
          <w:color w:val="000000"/>
          <w:sz w:val="32"/>
          <w:szCs w:val="32"/>
        </w:rPr>
      </w:pPr>
      <w:r>
        <w:rPr>
          <w:rFonts w:hint="eastAsia" w:ascii="仿宋_GB2312" w:eastAsia="仿宋_GB2312"/>
          <w:color w:val="000000"/>
          <w:sz w:val="32"/>
          <w:szCs w:val="32"/>
        </w:rPr>
        <w:t>右法治办〔202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号</w:t>
      </w:r>
    </w:p>
    <w:p w14:paraId="5D5E0FA2">
      <w:pPr>
        <w:spacing w:line="640" w:lineRule="exact"/>
        <w:jc w:val="center"/>
        <w:rPr>
          <w:rFonts w:ascii="方正小标宋_GBK" w:eastAsia="方正小标宋_GBK"/>
          <w:sz w:val="44"/>
          <w:szCs w:val="44"/>
        </w:rPr>
      </w:pPr>
      <w: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43815</wp:posOffset>
                </wp:positionV>
                <wp:extent cx="5772150" cy="9525"/>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772150" cy="9525"/>
                        </a:xfrm>
                        <a:prstGeom prst="line">
                          <a:avLst/>
                        </a:prstGeom>
                        <a:noFill/>
                        <a:ln w="22225">
                          <a:solidFill>
                            <a:srgbClr val="FF0000"/>
                          </a:solidFill>
                          <a:round/>
                        </a:ln>
                        <a:effectLst/>
                      </wps:spPr>
                      <wps:bodyPr/>
                    </wps:wsp>
                  </a:graphicData>
                </a:graphic>
              </wp:anchor>
            </w:drawing>
          </mc:Choice>
          <mc:Fallback>
            <w:pict>
              <v:line id="_x0000_s1026" o:spid="_x0000_s1026" o:spt="20" style="position:absolute;left:0pt;flip:y;margin-left:-1.6pt;margin-top:3.45pt;height:0.75pt;width:454.5pt;z-index:251661312;mso-width-relative:page;mso-height-relative:page;" filled="f" stroked="t" coordsize="21600,21600" o:gfxdata="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toQgfXAAAABgEAAA8AAAAAAAAAAQAgAAAAIgAAAGRycy9kb3ducmV2LnhtbFBLAQIU&#10;ABQAAAAIAIdO4kD6i6Li9AEAAMYDAAAOAAAAAAAAAAEAIAAAACYBAABkcnMvZTJvRG9jLnhtbFBL&#10;BQYAAAAABgAGAFkBAACMBQAAAAA=&#10;">
                <v:fill on="f" focussize="0,0"/>
                <v:stroke weight="1.75pt" color="#FF0000" joinstyle="round"/>
                <v:imagedata o:title=""/>
                <o:lock v:ext="edit" aspectratio="f"/>
              </v:line>
            </w:pict>
          </mc:Fallback>
        </mc:AlternateContent>
      </w:r>
      <w:r>
        <w:rPr>
          <w:color w:val="000000"/>
          <w:sz w:val="32"/>
          <w:szCs w:val="32"/>
        </w:rPr>
        <w:t xml:space="preserve"> </w:t>
      </w:r>
    </w:p>
    <w:p w14:paraId="6C82CAB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关于印发</w:t>
      </w:r>
      <w:r>
        <w:rPr>
          <w:rFonts w:hint="eastAsia" w:ascii="方正小标宋_GBK" w:eastAsia="方正小标宋_GBK"/>
          <w:sz w:val="44"/>
          <w:szCs w:val="44"/>
          <w:lang w:eastAsia="zh-CN"/>
        </w:rPr>
        <w:t>《</w:t>
      </w:r>
      <w:r>
        <w:rPr>
          <w:rFonts w:hint="eastAsia" w:ascii="方正小标宋_GBK" w:eastAsia="方正小标宋_GBK"/>
          <w:sz w:val="44"/>
          <w:szCs w:val="44"/>
        </w:rPr>
        <w:t>关于进一步做好规范和监督罚款</w:t>
      </w:r>
    </w:p>
    <w:p w14:paraId="56D6668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_GB2312" w:eastAsia="仿宋_GB2312"/>
          <w:sz w:val="32"/>
          <w:szCs w:val="32"/>
          <w:lang w:val="en-US"/>
        </w:rPr>
      </w:pPr>
      <w:r>
        <w:rPr>
          <w:rFonts w:hint="eastAsia" w:ascii="方正小标宋_GBK" w:eastAsia="方正小标宋_GBK"/>
          <w:sz w:val="44"/>
          <w:szCs w:val="44"/>
        </w:rPr>
        <w:t>设定与实施有关工作的通知</w:t>
      </w:r>
      <w:r>
        <w:rPr>
          <w:rFonts w:hint="eastAsia" w:ascii="方正小标宋_GBK" w:eastAsia="方正小标宋_GBK"/>
          <w:sz w:val="44"/>
          <w:szCs w:val="44"/>
          <w:lang w:eastAsia="zh-CN"/>
        </w:rPr>
        <w:t>》</w:t>
      </w:r>
      <w:r>
        <w:rPr>
          <w:rFonts w:hint="eastAsia" w:ascii="方正小标宋_GBK" w:eastAsia="方正小标宋_GBK"/>
          <w:sz w:val="44"/>
          <w:szCs w:val="44"/>
          <w:lang w:val="en-US" w:eastAsia="zh-CN"/>
        </w:rPr>
        <w:t>的通知</w:t>
      </w:r>
    </w:p>
    <w:p w14:paraId="1E4D3798">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sz w:val="32"/>
          <w:szCs w:val="32"/>
        </w:rPr>
      </w:pPr>
    </w:p>
    <w:p w14:paraId="0C07B717">
      <w:pPr>
        <w:spacing w:line="640" w:lineRule="exact"/>
        <w:rPr>
          <w:rFonts w:ascii="仿宋_GB2312" w:eastAsia="仿宋_GB2312"/>
          <w:sz w:val="32"/>
          <w:szCs w:val="32"/>
        </w:rPr>
      </w:pPr>
      <w:r>
        <w:rPr>
          <w:rFonts w:hint="eastAsia" w:ascii="仿宋_GB2312" w:eastAsia="仿宋_GB2312"/>
          <w:sz w:val="32"/>
          <w:szCs w:val="32"/>
        </w:rPr>
        <w:t>各乡（镇）、杀虎口风景名胜区、城镇居民服务中心，各有关单位：</w:t>
      </w:r>
    </w:p>
    <w:p w14:paraId="7F6CE75D">
      <w:pPr>
        <w:spacing w:line="640" w:lineRule="exact"/>
        <w:ind w:firstLine="645"/>
        <w:rPr>
          <w:rFonts w:hint="eastAsia" w:ascii="仿宋_GB2312" w:eastAsia="仿宋_GB2312"/>
          <w:sz w:val="32"/>
          <w:szCs w:val="32"/>
        </w:rPr>
      </w:pPr>
      <w:r>
        <w:rPr>
          <w:rFonts w:hint="eastAsia" w:ascii="仿宋_GB2312" w:eastAsia="仿宋_GB2312"/>
          <w:sz w:val="32"/>
          <w:szCs w:val="32"/>
        </w:rPr>
        <w:t>现将《关于进一步做好规范和监督罚款</w:t>
      </w:r>
      <w:bookmarkStart w:id="4" w:name="_GoBack"/>
      <w:bookmarkEnd w:id="4"/>
      <w:r>
        <w:rPr>
          <w:rFonts w:hint="eastAsia" w:ascii="仿宋_GB2312" w:eastAsia="仿宋_GB2312"/>
          <w:sz w:val="32"/>
          <w:szCs w:val="32"/>
        </w:rPr>
        <w:t>设定与实施有关工作的通知》印发你们，请认真贯彻落实。</w:t>
      </w:r>
    </w:p>
    <w:p w14:paraId="159B4C0F">
      <w:pPr>
        <w:spacing w:line="640" w:lineRule="exact"/>
        <w:ind w:right="320" w:firstLine="645"/>
        <w:jc w:val="right"/>
        <w:rPr>
          <w:rFonts w:ascii="仿宋_GB2312" w:eastAsia="仿宋_GB2312"/>
          <w:sz w:val="32"/>
          <w:szCs w:val="32"/>
        </w:rPr>
      </w:pPr>
    </w:p>
    <w:p w14:paraId="5C362F12">
      <w:pPr>
        <w:spacing w:line="640" w:lineRule="exact"/>
        <w:ind w:right="320" w:firstLine="645"/>
        <w:jc w:val="right"/>
        <w:rPr>
          <w:rFonts w:ascii="仿宋_GB2312" w:eastAsia="仿宋_GB2312"/>
          <w:sz w:val="32"/>
          <w:szCs w:val="32"/>
        </w:rPr>
      </w:pPr>
      <w:r>
        <w:rPr>
          <w:rFonts w:hint="eastAsia" w:ascii="仿宋_GB2312" w:eastAsia="仿宋_GB2312"/>
          <w:sz w:val="32"/>
          <w:szCs w:val="32"/>
        </w:rPr>
        <w:t>中共右玉县委全面依法治县委员会办公室</w:t>
      </w:r>
    </w:p>
    <w:p w14:paraId="70687E67">
      <w:pPr>
        <w:spacing w:line="640" w:lineRule="exact"/>
        <w:ind w:right="1280" w:firstLine="645"/>
        <w:jc w:val="right"/>
        <w:rPr>
          <w:rFonts w:hint="eastAsia"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19</w:t>
      </w:r>
      <w:r>
        <w:rPr>
          <w:rFonts w:hint="eastAsia" w:ascii="仿宋_GB2312" w:eastAsia="仿宋_GB2312"/>
          <w:sz w:val="32"/>
          <w:szCs w:val="32"/>
        </w:rPr>
        <w:t>日</w:t>
      </w:r>
    </w:p>
    <w:p w14:paraId="5B83500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rPr>
      </w:pPr>
    </w:p>
    <w:p w14:paraId="5BD7BBB4">
      <w:pPr>
        <w:spacing w:line="640" w:lineRule="exact"/>
        <w:jc w:val="center"/>
        <w:rPr>
          <w:rFonts w:hint="eastAsia" w:ascii="方正小标宋简体" w:hAnsi="方正小标宋简体" w:eastAsia="方正小标宋简体" w:cs="方正小标宋简体"/>
          <w:sz w:val="44"/>
          <w:szCs w:val="44"/>
        </w:rPr>
      </w:pPr>
    </w:p>
    <w:p w14:paraId="029147DD">
      <w:pPr>
        <w:spacing w:line="640" w:lineRule="exact"/>
        <w:jc w:val="center"/>
        <w:rPr>
          <w:rFonts w:hint="eastAsia" w:ascii="方正小标宋简体" w:hAnsi="方正小标宋简体" w:eastAsia="方正小标宋简体" w:cs="方正小标宋简体"/>
          <w:sz w:val="44"/>
          <w:szCs w:val="44"/>
        </w:rPr>
      </w:pPr>
    </w:p>
    <w:p w14:paraId="36FF6FFE">
      <w:pPr>
        <w:spacing w:line="640" w:lineRule="exact"/>
        <w:jc w:val="center"/>
        <w:rPr>
          <w:rFonts w:hint="eastAsia" w:ascii="方正小标宋简体" w:hAnsi="方正小标宋简体" w:eastAsia="方正小标宋简体" w:cs="方正小标宋简体"/>
          <w:sz w:val="44"/>
          <w:szCs w:val="44"/>
        </w:rPr>
      </w:pPr>
    </w:p>
    <w:p w14:paraId="302F7C09">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关于进一步做好规范和监督罚款设定与</w:t>
      </w:r>
    </w:p>
    <w:p w14:paraId="412F42C9">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实施有关工作的通知</w:t>
      </w:r>
    </w:p>
    <w:p w14:paraId="4532F7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14:paraId="31992D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为贯彻落实国务院《关于进一步规范和监督罚款设定与实施的指导意见》(国发</w:t>
      </w:r>
      <w:bookmarkStart w:id="0" w:name="OLE_LINK3"/>
      <w:r>
        <w:rPr>
          <w:rFonts w:hint="eastAsia" w:ascii="仿宋_GB2312" w:eastAsia="仿宋_GB2312"/>
          <w:sz w:val="32"/>
          <w:szCs w:val="32"/>
        </w:rPr>
        <w:t>〔2024〕</w:t>
      </w:r>
      <w:bookmarkEnd w:id="0"/>
      <w:r>
        <w:rPr>
          <w:rFonts w:hint="eastAsia" w:ascii="仿宋_GB2312" w:eastAsia="仿宋_GB2312"/>
          <w:sz w:val="32"/>
          <w:szCs w:val="32"/>
        </w:rPr>
        <w:t>5号，以下简称《指导意见》)、和省依法治省办、市委依法治市办《关于进一步做好规范和监督罚款设定与实施有关</w:t>
      </w:r>
      <w:bookmarkStart w:id="1" w:name="OLE_LINK1"/>
      <w:bookmarkStart w:id="2" w:name="OLE_LINK2"/>
      <w:r>
        <w:rPr>
          <w:rFonts w:hint="eastAsia" w:ascii="仿宋_GB2312" w:eastAsia="仿宋_GB2312"/>
          <w:sz w:val="32"/>
          <w:szCs w:val="32"/>
        </w:rPr>
        <w:t>工作的通知》</w:t>
      </w:r>
      <w:bookmarkEnd w:id="1"/>
      <w:bookmarkEnd w:id="2"/>
      <w:r>
        <w:rPr>
          <w:rFonts w:hint="eastAsia" w:ascii="仿宋_GB2312" w:eastAsia="仿宋_GB2312"/>
          <w:sz w:val="32"/>
          <w:szCs w:val="32"/>
        </w:rPr>
        <w:t>精神，进一步规范和监督罚款设定与实施，提高我县罚款规定的执法质量，切实保障企业和群众合法权益，创优法治化营商环境，推动高质量发展，结合我县实际，现将有关工作通知如下:</w:t>
      </w:r>
    </w:p>
    <w:p w14:paraId="26E230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方正兰亭中黑_GBK"/>
          <w:sz w:val="32"/>
          <w:szCs w:val="32"/>
        </w:rPr>
      </w:pPr>
      <w:r>
        <w:rPr>
          <w:rFonts w:hint="eastAsia" w:ascii="黑体" w:hAnsi="黑体" w:eastAsia="黑体" w:cs="方正兰亭中黑_GBK"/>
          <w:sz w:val="32"/>
          <w:szCs w:val="32"/>
        </w:rPr>
        <w:t>一、严格审查把关，依法科学设定罚款</w:t>
      </w:r>
    </w:p>
    <w:p w14:paraId="6A9D84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严格依法设定。</w:t>
      </w:r>
      <w:r>
        <w:rPr>
          <w:rFonts w:hint="eastAsia" w:ascii="仿宋_GB2312" w:eastAsia="仿宋_GB2312"/>
          <w:sz w:val="32"/>
          <w:szCs w:val="32"/>
        </w:rPr>
        <w:t>应当严格按照行政处罚法第十四条相关规定设定处罚条款。法律、法规对违法行为已经作出行政处罚规定但未设定罚款的，行政规范性文件不得增设罚款;法律、法规已经设定罚款但未规定罚款数额的，或者尚未制定法律、法规，因行政管理迫切需要依法先以政府规章设定罚款的，应当按照《山西省规章设定罚款限额规定》作出具体规定，设定的罚款数额不得超过法律、法规对相似违法行为规定的罚款数额。</w:t>
      </w:r>
    </w:p>
    <w:p w14:paraId="1AC3C2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定期开展评估。</w:t>
      </w:r>
      <w:r>
        <w:rPr>
          <w:rFonts w:hint="eastAsia" w:ascii="仿宋_GB2312" w:eastAsia="仿宋_GB2312"/>
          <w:sz w:val="32"/>
          <w:szCs w:val="32"/>
        </w:rPr>
        <w:t>认真落实行政处罚评估制度，对现行有效的政府规章，县司法行政部门会同同级有关部门，定期组织开展立法后评估，把评估规章涉及罚款的规定作为重要内容，并根据评估结果向上级人民政府提出修改或者废止建议。</w:t>
      </w:r>
    </w:p>
    <w:p w14:paraId="1AA756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方正兰亭中黑_GBK"/>
          <w:sz w:val="32"/>
          <w:szCs w:val="32"/>
        </w:rPr>
      </w:pPr>
      <w:r>
        <w:rPr>
          <w:rFonts w:hint="eastAsia" w:ascii="黑体" w:hAnsi="黑体" w:eastAsia="黑体" w:cs="方正兰亭中黑_GBK"/>
          <w:sz w:val="32"/>
          <w:szCs w:val="32"/>
        </w:rPr>
        <w:t>二、提升执法质量，规范罚款实施</w:t>
      </w:r>
    </w:p>
    <w:p w14:paraId="520521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落实国务院取消罚款事项的决定。</w:t>
      </w:r>
      <w:r>
        <w:rPr>
          <w:rFonts w:hint="eastAsia" w:ascii="仿宋_GB2312" w:eastAsia="仿宋_GB2312"/>
          <w:sz w:val="32"/>
          <w:szCs w:val="32"/>
        </w:rPr>
        <w:t>国务院决定调整行政法规、部门规章中设定的罚款事项的，按照修改后的相关行政法规、部门规章中的有关罚款规定执行。国务院决定取消行政法规、部门规章中设定的罚款事项的，自决定印发之日起暂时停止适用相关行政法规、部门规章中的有关罚款规定。公安、交通运输、市场监管、住房城乡建设、工业和信息化等部门要严格按照《国务院关于取消和调整一批罚款事项的决定》(国发〔2022〕15号)和《国务院关于取消和调整一批罚款事项的决定》(国发〔2023〕20号)的要求，做好本领域取消和调整罚款事项的相关工作。罚款事项取消后，有关部门要认真研究，严格落实监管责任，加强事中事后监管，完善监管方法，规范监管程序，提高监管的科学性、简约性和精准性，进一步提升监管效能。</w:t>
      </w:r>
    </w:p>
    <w:p w14:paraId="0EF3E3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编制处罚清单。</w:t>
      </w:r>
      <w:r>
        <w:rPr>
          <w:rFonts w:hint="eastAsia" w:ascii="仿宋_GB2312" w:eastAsia="仿宋_GB2312"/>
          <w:sz w:val="32"/>
          <w:szCs w:val="32"/>
        </w:rPr>
        <w:t>坚持严格规范执法，鼓励行政机关在对“六新”领域实施包容免罚“三张清单”制度基础上，统筹考虑法律制度与客观实际、合法性与合理性、具体条款与原则规定，制定不予、可以不予、减轻、从轻、从重罚款等处罚清单，同步调整纳入行政裁量权基准。罚款数额达到重大行政处罚较大数额(较大价值)备案标准的，要按照《山西省重大行政处罚决定备案办法》等有关规定，自作出处罚决定之日15日内，向有关部门备案。适用听证程序的罚款、没收违法所得、没收非法财物的数额标准，国务院有关部门有规定的从其规定，未做规定的按照我省有关规定执行。各级行政机关要按照全县提升行政执法质量三年行动计划安排，针对逐利执法问题，扎实开展专项整治行动。</w:t>
      </w:r>
    </w:p>
    <w:p w14:paraId="606CD6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加强执法指引。</w:t>
      </w:r>
      <w:r>
        <w:rPr>
          <w:rFonts w:hint="eastAsia" w:ascii="仿宋_GB2312" w:eastAsia="仿宋_GB2312"/>
          <w:sz w:val="32"/>
          <w:szCs w:val="32"/>
        </w:rPr>
        <w:t>坚持公正文明执法，行政机关要依法广泛综合运用说服教育、劝导示范、指导约谈等方式，积极构建“预防为主、轻微免罚、重违严惩、过罚相当、事后回访”等执法模式，让执法既有力度又有温度。要健全文明执法、柔性执法机制，完成本系统本领域行政执法流程图、执法服务指南更新修改和文明执法用语指引、劝导示范指引、指导约谈指引等编制工作，定期梳理、发布典型案例，引领推动行政执法人员文明执法。</w:t>
      </w:r>
    </w:p>
    <w:p w14:paraId="213C8C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开展行政规范性文件清理。</w:t>
      </w:r>
      <w:r>
        <w:rPr>
          <w:rFonts w:hint="eastAsia" w:ascii="仿宋_GB2312" w:eastAsia="仿宋_GB2312"/>
          <w:sz w:val="32"/>
          <w:szCs w:val="32"/>
        </w:rPr>
        <w:t>县政府及其有关部门要梳理以行政规范性文件对违法所得计算方式作出例外规定的内容，对不符合上位法要求的及时废止或者修改。其中，县政府及县政府办制定的行政规范性文件，由起草或牵头起草的县直有关部门提出清理意见，</w:t>
      </w:r>
      <w:bookmarkStart w:id="3" w:name="OLE_LINK4"/>
      <w:r>
        <w:rPr>
          <w:rFonts w:hint="eastAsia" w:ascii="仿宋_GB2312" w:eastAsia="仿宋_GB2312"/>
          <w:sz w:val="32"/>
          <w:szCs w:val="32"/>
        </w:rPr>
        <w:t>于</w:t>
      </w:r>
      <w:bookmarkEnd w:id="3"/>
      <w:r>
        <w:rPr>
          <w:rFonts w:hint="eastAsia" w:ascii="仿宋_GB2312" w:eastAsia="仿宋_GB2312"/>
          <w:sz w:val="32"/>
          <w:szCs w:val="32"/>
        </w:rPr>
        <w:t>2024年12月底前报送县委政法委（县司法局）。</w:t>
      </w:r>
    </w:p>
    <w:p w14:paraId="66B1B5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规范非现场执法。</w:t>
      </w:r>
      <w:r>
        <w:rPr>
          <w:rFonts w:hint="eastAsia" w:ascii="仿宋_GB2312" w:eastAsia="仿宋_GB2312"/>
          <w:sz w:val="32"/>
          <w:szCs w:val="32"/>
        </w:rPr>
        <w:t>严把法制审核、技术审核和执法监督三道“关”。行政机关利用执法类电子技术监控设备收集、固定违法事实的，应当经过法制和技术审核，设置地点要有明显可见的标识，投入使用前要及时向社会公布。要确保计量准确，未经依法检定、逾期未检定或者检定不合格的，不得使用。县人民政府有关部门要严格落实对应山西省级部门出台的本系统本领域执法类电子技术监控设备设置使用规范，严格执行执法类电子技术监控设备收集固定违法事实的法制审核和技术审核内容标准、检定内容期限频次、核查整改方式方法。县政府有关部门、乡（镇）人民政府要在 2024年12月底前完成执法类电子技术监控设备清理、规范工作，及时停止使用不合法、不合规、不必要的监控设备，清理结果分别报本级人民政府、上级人民政府。每年年底前，乡（镇）人民政府要向县人民政府，县政府有关部门要向本级人民政府报告执法类电子技术监控设备新增情况，县司法行政部门要加强执法监督。</w:t>
      </w:r>
    </w:p>
    <w:p w14:paraId="48DC04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方正兰亭中黑_GBK"/>
          <w:sz w:val="32"/>
          <w:szCs w:val="32"/>
        </w:rPr>
      </w:pPr>
      <w:r>
        <w:rPr>
          <w:rFonts w:hint="eastAsia" w:ascii="黑体" w:hAnsi="黑体" w:eastAsia="黑体" w:cs="方正兰亭中黑_GBK"/>
          <w:sz w:val="32"/>
          <w:szCs w:val="32"/>
        </w:rPr>
        <w:t>三、充分发挥监督合力，全面强化罚款监督</w:t>
      </w:r>
    </w:p>
    <w:p w14:paraId="738E4A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深入开展源头治理。</w:t>
      </w:r>
      <w:r>
        <w:rPr>
          <w:rFonts w:hint="eastAsia" w:ascii="仿宋_GB2312" w:eastAsia="仿宋_GB2312"/>
          <w:sz w:val="32"/>
          <w:szCs w:val="32"/>
        </w:rPr>
        <w:t>坚决防止以罚增收、以罚代管、逐利罚款等行为，严格规范罚款，加强事中事后监管。县人民政府有关部门要充分发挥本部门行政执法监督作用，加强对本行业、本领域存在的社会关注度高、投诉举报集中、违法行为频繁发生等罚款事项的监督检查。要坚持系统观念，加强对本行业、本领域罚款类行政处罚共性问题的研究，对涉及公共安全和群众生命健康等行业、领域中的普遍性问题，要推动从个案办理到类案管理再到系统治理，实现“办理一案、治理一类、影响一域”。</w:t>
      </w:r>
    </w:p>
    <w:p w14:paraId="6F467B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九</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加强财会审计监督。</w:t>
      </w:r>
      <w:r>
        <w:rPr>
          <w:rFonts w:hint="eastAsia" w:ascii="仿宋_GB2312" w:eastAsia="仿宋_GB2312"/>
          <w:sz w:val="32"/>
          <w:szCs w:val="32"/>
        </w:rPr>
        <w:t>罚款收入管理要遵循罚款决定与罚款收缴相分离，罚款收入与经费保障相分离原则。行政机关要将应当上缴的罚款收入，按照规定及时足额缴入国库，任何部门、单位和个人不得截留、私分、占用、挪用或者拖欠。对当事人不及时足额缴纳罚款的，行政机关要及时启动追缴程序，履行追缴职责。财政部门负责监督有关单位的罚款收入管理工作，会同审计等部门按规定开展专项监督检查。强化市、县监督上下联动，压实财政、审计等部门的监督责任。</w:t>
      </w:r>
    </w:p>
    <w:p w14:paraId="42637F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发挥监督合力。</w:t>
      </w:r>
      <w:r>
        <w:rPr>
          <w:rFonts w:hint="eastAsia" w:ascii="仿宋_GB2312" w:eastAsia="仿宋_GB2312"/>
          <w:sz w:val="32"/>
          <w:szCs w:val="32"/>
        </w:rPr>
        <w:t>县政府各部门要健全和完善重大行政处罚备案制度和行政执法统计年报制度。县司法行政部门要加强执法案卷抽查和集中评查等行政执法监督工作。拓宽执法监督渠道，开展行政执法监督与12345热线平台信息推送试点工作。强化行政复议监督效能，加强行政复议机构与行政机关的工作交流，坚持有错必纠，积极适用变更、撤销、确认违法、确认无效等纠错决定，集中纠正行政执法领域存在的趋利执法、选择性执法、罚款实施不规范等突出问题。</w:t>
      </w:r>
    </w:p>
    <w:p w14:paraId="6C6CC6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方正兰亭中黑_GBK"/>
          <w:sz w:val="32"/>
          <w:szCs w:val="32"/>
        </w:rPr>
      </w:pPr>
      <w:r>
        <w:rPr>
          <w:rFonts w:hint="eastAsia" w:ascii="黑体" w:hAnsi="黑体" w:eastAsia="黑体" w:cs="方正兰亭中黑_GBK"/>
          <w:sz w:val="32"/>
          <w:szCs w:val="32"/>
        </w:rPr>
        <w:t>四、工作要求</w:t>
      </w:r>
    </w:p>
    <w:p w14:paraId="518EDE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各乡（镇）、各部门要高度重视规范和监督罚款设定与实施工作，认真组织学习《指导意见》，使全县各级行政执法机关和监督机关及其工作人员深刻领会、系统准确掌握规范和监督罚款设定与实施的精神和原则、目标和要求，提升规范意识。要坚持问题导向，压实工作责任，将规范和监督罚款设定与实施作为提升政府治理能力、维护公共利益和社会秩序、优化营商环境的重要抓手，切实把《指导意见》的各项要求落实到具体工作中。县司法行政部门要加强统筹协调监督，加强与各乡(镇)及县政府有关部门的沟通，重要情况和问题及时报县人民政府。</w:t>
      </w:r>
    </w:p>
    <w:p w14:paraId="5BD5A842">
      <w:pPr>
        <w:ind w:firstLine="640" w:firstLineChars="200"/>
        <w:rPr>
          <w:rFonts w:ascii="仿宋" w:hAnsi="仿宋" w:eastAsia="仿宋" w:cs="仿宋"/>
          <w:sz w:val="32"/>
          <w:szCs w:val="32"/>
        </w:rPr>
      </w:pPr>
    </w:p>
    <w:sectPr>
      <w:footerReference r:id="rId3" w:type="default"/>
      <w:footerReference r:id="rId4" w:type="even"/>
      <w:pgSz w:w="11906" w:h="16838"/>
      <w:pgMar w:top="1871" w:right="1531" w:bottom="153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兰亭中黑_GBK">
    <w:altName w:val="微软雅黑"/>
    <w:panose1 w:val="000000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1D08F">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4942840</wp:posOffset>
              </wp:positionH>
              <wp:positionV relativeFrom="paragraph">
                <wp:posOffset>-114300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w:hAnsi="Times New Roman" w:cs="Times New Roman"/>
                              <w:sz w:val="28"/>
                              <w:szCs w:val="28"/>
                            </w:rPr>
                            <w:id w:val="147469135"/>
                            <w:docPartObj>
                              <w:docPartGallery w:val="autotext"/>
                            </w:docPartObj>
                          </w:sdtPr>
                          <w:sdtEndPr>
                            <w:rPr>
                              <w:rFonts w:hint="default" w:ascii="Times New Roman" w:hAnsi="Times New Roman" w:cs="Times New Roman"/>
                              <w:sz w:val="28"/>
                              <w:szCs w:val="28"/>
                            </w:rPr>
                          </w:sdtEndPr>
                          <w:sdtContent>
                            <w:p w14:paraId="5698570A">
                              <w:pPr>
                                <w:pStyle w:val="2"/>
                                <w:keepNext w:val="0"/>
                                <w:keepLines w:val="0"/>
                                <w:pageBreakBefore w:val="0"/>
                                <w:widowControl w:val="0"/>
                                <w:kinsoku/>
                                <w:wordWrap/>
                                <w:overflowPunct/>
                                <w:topLinePunct w:val="0"/>
                                <w:bidi w:val="0"/>
                                <w:adjustRightInd/>
                                <w:ind w:right="210" w:rightChars="100"/>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sdtContent>
                        </w:sdt>
                        <w:p w14:paraId="7331BA61">
                          <w:pPr>
                            <w:keepNext w:val="0"/>
                            <w:keepLines w:val="0"/>
                            <w:pageBreakBefore w:val="0"/>
                            <w:widowControl w:val="0"/>
                            <w:kinsoku/>
                            <w:wordWrap/>
                            <w:overflowPunct/>
                            <w:topLinePunct w:val="0"/>
                            <w:bidi w:val="0"/>
                            <w:adjustRightInd/>
                            <w:ind w:right="210" w:rightChars="100"/>
                            <w:textAlignment w:val="auto"/>
                            <w:rPr>
                              <w:rFonts w:hint="default"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9.2pt;margin-top:-9pt;height:144pt;width:144pt;mso-position-horizontal-relative:margin;mso-wrap-style:none;z-index:251659264;mso-width-relative:page;mso-height-relative:page;" filled="f" stroked="f" coordsize="21600,21600" o:gfxdata="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DBEmNgAAAAM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sdt>
                    <w:sdtPr>
                      <w:rPr>
                        <w:rFonts w:hint="default" w:ascii="Times New Roman" w:hAnsi="Times New Roman" w:cs="Times New Roman"/>
                        <w:sz w:val="28"/>
                        <w:szCs w:val="28"/>
                      </w:rPr>
                      <w:id w:val="147469135"/>
                      <w:docPartObj>
                        <w:docPartGallery w:val="autotext"/>
                      </w:docPartObj>
                    </w:sdtPr>
                    <w:sdtEndPr>
                      <w:rPr>
                        <w:rFonts w:hint="default" w:ascii="Times New Roman" w:hAnsi="Times New Roman" w:cs="Times New Roman"/>
                        <w:sz w:val="28"/>
                        <w:szCs w:val="28"/>
                      </w:rPr>
                    </w:sdtEndPr>
                    <w:sdtContent>
                      <w:p w14:paraId="5698570A">
                        <w:pPr>
                          <w:pStyle w:val="2"/>
                          <w:keepNext w:val="0"/>
                          <w:keepLines w:val="0"/>
                          <w:pageBreakBefore w:val="0"/>
                          <w:widowControl w:val="0"/>
                          <w:kinsoku/>
                          <w:wordWrap/>
                          <w:overflowPunct/>
                          <w:topLinePunct w:val="0"/>
                          <w:bidi w:val="0"/>
                          <w:adjustRightInd/>
                          <w:ind w:right="210" w:rightChars="100"/>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sdtContent>
                  </w:sdt>
                  <w:p w14:paraId="7331BA61">
                    <w:pPr>
                      <w:keepNext w:val="0"/>
                      <w:keepLines w:val="0"/>
                      <w:pageBreakBefore w:val="0"/>
                      <w:widowControl w:val="0"/>
                      <w:kinsoku/>
                      <w:wordWrap/>
                      <w:overflowPunct/>
                      <w:topLinePunct w:val="0"/>
                      <w:bidi w:val="0"/>
                      <w:adjustRightInd/>
                      <w:ind w:right="210" w:rightChars="100"/>
                      <w:textAlignment w:val="auto"/>
                      <w:rPr>
                        <w:rFonts w:hint="default" w:ascii="Times New Roman" w:hAnsi="Times New Roman" w:cs="Times New Roman"/>
                        <w:sz w:val="28"/>
                        <w:szCs w:val="28"/>
                      </w:rPr>
                    </w:pPr>
                  </w:p>
                </w:txbxContent>
              </v:textbox>
            </v:shape>
          </w:pict>
        </mc:Fallback>
      </mc:AlternateContent>
    </w:r>
  </w:p>
  <w:p w14:paraId="6BDF8F6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A6AD3">
    <w:pPr>
      <w:pStyle w:val="2"/>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-247650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B1C77">
                          <w:pPr>
                            <w:pStyle w:val="2"/>
                            <w:keepNext w:val="0"/>
                            <w:keepLines w:val="0"/>
                            <w:pageBreakBefore w:val="0"/>
                            <w:widowControl w:val="0"/>
                            <w:kinsoku/>
                            <w:wordWrap/>
                            <w:overflowPunct/>
                            <w:topLinePunct w:val="0"/>
                            <w:bidi w:val="0"/>
                            <w:adjustRightInd/>
                            <w:snapToGrid w:val="0"/>
                            <w:ind w:left="210" w:leftChars="1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19.5pt;height:144pt;width:144pt;mso-position-horizontal-relative:margin;mso-wrap-style:none;z-index:251660288;mso-width-relative:page;mso-height-relative:page;" filled="f" stroked="f" coordsize="21600,21600" o:gfxdata="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6Zv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dHdNQAAAAIAQAADwAAAAAAAAABACAAAAAiAAAAZHJzL2Rvd25yZXYueG1sUEsB&#10;AhQAFAAAAAgAh07iQOGA044yAgAAYQQAAA4AAAAAAAAAAQAgAAAAIwEAAGRycy9lMm9Eb2MueG1s&#10;UEsFBgAAAAAGAAYAWQEAAMcFAAAAAA==&#10;">
              <v:fill on="f" focussize="0,0"/>
              <v:stroke on="f" weight="0.5pt"/>
              <v:imagedata o:title=""/>
              <o:lock v:ext="edit" aspectratio="f"/>
              <v:textbox inset="0mm,0mm,0mm,0mm" style="mso-fit-shape-to-text:t;">
                <w:txbxContent>
                  <w:p w14:paraId="2B2B1C77">
                    <w:pPr>
                      <w:pStyle w:val="2"/>
                      <w:keepNext w:val="0"/>
                      <w:keepLines w:val="0"/>
                      <w:pageBreakBefore w:val="0"/>
                      <w:widowControl w:val="0"/>
                      <w:kinsoku/>
                      <w:wordWrap/>
                      <w:overflowPunct/>
                      <w:topLinePunct w:val="0"/>
                      <w:bidi w:val="0"/>
                      <w:adjustRightInd/>
                      <w:snapToGrid w:val="0"/>
                      <w:ind w:left="210" w:leftChars="1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NDU4OTk0Nzg2MDU2YzEyZGE2MDE1YzRhODU1NWIifQ=="/>
  </w:docVars>
  <w:rsids>
    <w:rsidRoot w:val="65EF4D69"/>
    <w:rsid w:val="00182B7F"/>
    <w:rsid w:val="001D4363"/>
    <w:rsid w:val="001E52C7"/>
    <w:rsid w:val="00467664"/>
    <w:rsid w:val="00764798"/>
    <w:rsid w:val="007B2705"/>
    <w:rsid w:val="009D0675"/>
    <w:rsid w:val="00C31C29"/>
    <w:rsid w:val="00C33D35"/>
    <w:rsid w:val="0ED16A2D"/>
    <w:rsid w:val="123B4F01"/>
    <w:rsid w:val="349D6C26"/>
    <w:rsid w:val="3B01322F"/>
    <w:rsid w:val="4CA54ADB"/>
    <w:rsid w:val="58376587"/>
    <w:rsid w:val="5D9B3D9F"/>
    <w:rsid w:val="65EF4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2858</Words>
  <Characters>2882</Characters>
  <Lines>20</Lines>
  <Paragraphs>5</Paragraphs>
  <TotalTime>2</TotalTime>
  <ScaleCrop>false</ScaleCrop>
  <LinksUpToDate>false</LinksUpToDate>
  <CharactersWithSpaces>2885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2024-08-30T08:01:00Z</dcterms:created>
  <dc:creator>楿垨圉湢</dc:creator>
  <cp:lastModifiedBy>-   裴先森  つ</cp:lastModifiedBy>
  <cp:lastPrinted>2024-10-30T02:01:00Z</cp:lastPrinted>
  <dcterms:modified xsi:type="dcterms:W3CDTF">2024-11-29T01:57:05Z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F423332CE85F4229BD768EA48760F225_13</vt:lpwstr>
  </property>
</Properties>
</file>