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关于 2019年政府决算</w:t>
      </w:r>
      <w:bookmarkStart w:id="0" w:name="_GoBack"/>
      <w:bookmarkEnd w:id="0"/>
      <w:r>
        <w:rPr>
          <w:rFonts w:hint="eastAsia" w:ascii="黑体" w:hAnsi="黑体" w:eastAsia="黑体" w:cs="黑体"/>
          <w:color w:val="000000"/>
          <w:kern w:val="0"/>
          <w:sz w:val="44"/>
          <w:szCs w:val="44"/>
          <w:lang w:val="en-US" w:eastAsia="zh-CN" w:bidi="ar"/>
        </w:rPr>
        <w:t>公开有关事项的说明</w:t>
      </w:r>
    </w:p>
    <w:p>
      <w:pPr>
        <w:keepNext w:val="0"/>
        <w:keepLines w:val="0"/>
        <w:pageBreakBefore w:val="0"/>
        <w:widowControl w:val="0"/>
        <w:kinsoku/>
        <w:wordWrap/>
        <w:overflowPunct/>
        <w:topLinePunct w:val="0"/>
        <w:autoSpaceDE/>
        <w:autoSpaceDN/>
        <w:bidi w:val="0"/>
        <w:adjustRightInd w:val="0"/>
        <w:snapToGrid w:val="0"/>
        <w:spacing w:after="0" w:line="6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一、转移支付执行情况</w:t>
      </w:r>
    </w:p>
    <w:p>
      <w:pPr>
        <w:keepNext w:val="0"/>
        <w:keepLines w:val="0"/>
        <w:pageBreakBefore w:val="0"/>
        <w:widowControl w:val="0"/>
        <w:kinsoku/>
        <w:wordWrap/>
        <w:overflowPunct/>
        <w:topLinePunct w:val="0"/>
        <w:autoSpaceDE/>
        <w:autoSpaceDN/>
        <w:bidi w:val="0"/>
        <w:adjustRightInd w:val="0"/>
        <w:snapToGrid w:val="0"/>
        <w:spacing w:after="0" w:line="660" w:lineRule="exact"/>
        <w:ind w:firstLine="640" w:firstLineChars="200"/>
        <w:textAlignment w:val="auto"/>
        <w:outlineLvl w:val="9"/>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年度我县一般公共预算上级补助收入</w:t>
      </w:r>
      <w:r>
        <w:rPr>
          <w:rFonts w:hint="eastAsia" w:ascii="仿宋_GB2312" w:eastAsia="仿宋_GB2312"/>
          <w:sz w:val="32"/>
          <w:szCs w:val="32"/>
          <w:lang w:val="en-US" w:eastAsia="zh-CN"/>
        </w:rPr>
        <w:t>137437</w:t>
      </w:r>
      <w:r>
        <w:rPr>
          <w:rFonts w:hint="eastAsia" w:ascii="仿宋_GB2312" w:eastAsia="仿宋_GB2312"/>
          <w:sz w:val="32"/>
          <w:szCs w:val="32"/>
        </w:rPr>
        <w:t>万元，其中：返还性收入</w:t>
      </w:r>
      <w:r>
        <w:rPr>
          <w:rFonts w:hint="eastAsia" w:ascii="仿宋_GB2312" w:eastAsia="仿宋_GB2312"/>
          <w:sz w:val="32"/>
          <w:szCs w:val="32"/>
          <w:lang w:val="en-US" w:eastAsia="zh-CN"/>
        </w:rPr>
        <w:t>2750</w:t>
      </w:r>
      <w:r>
        <w:rPr>
          <w:rFonts w:hint="eastAsia" w:ascii="仿宋_GB2312" w:eastAsia="仿宋_GB2312"/>
          <w:sz w:val="32"/>
          <w:szCs w:val="32"/>
        </w:rPr>
        <w:t>万元，一般转移支付收入</w:t>
      </w:r>
      <w:r>
        <w:rPr>
          <w:rFonts w:hint="eastAsia" w:ascii="仿宋_GB2312" w:eastAsia="仿宋_GB2312"/>
          <w:sz w:val="32"/>
          <w:szCs w:val="32"/>
          <w:lang w:val="en-US" w:eastAsia="zh-CN"/>
        </w:rPr>
        <w:t>83146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专项转移支付收入</w:t>
      </w:r>
      <w:r>
        <w:rPr>
          <w:rFonts w:hint="eastAsia" w:ascii="仿宋_GB2312" w:eastAsia="仿宋_GB2312"/>
          <w:sz w:val="32"/>
          <w:szCs w:val="32"/>
          <w:lang w:val="en-US" w:eastAsia="zh-CN"/>
        </w:rPr>
        <w:t>51541</w:t>
      </w:r>
      <w:r>
        <w:rPr>
          <w:rFonts w:hint="eastAsia" w:ascii="仿宋_GB2312" w:eastAsia="仿宋_GB2312"/>
          <w:sz w:val="32"/>
          <w:szCs w:val="32"/>
        </w:rPr>
        <w:t>万元。根据资金性质及用途，按照上级有关要求，全部安排到我县相应经济社会领域，年末结转资金</w:t>
      </w:r>
      <w:r>
        <w:rPr>
          <w:rFonts w:hint="eastAsia" w:ascii="仿宋_GB2312" w:eastAsia="仿宋_GB2312"/>
          <w:sz w:val="32"/>
          <w:szCs w:val="32"/>
          <w:lang w:val="en-US" w:eastAsia="zh-CN"/>
        </w:rPr>
        <w:t>1462</w:t>
      </w:r>
      <w:r>
        <w:rPr>
          <w:rFonts w:hint="eastAsia" w:ascii="仿宋_GB2312" w:eastAsia="仿宋_GB2312"/>
          <w:sz w:val="32"/>
          <w:szCs w:val="32"/>
        </w:rPr>
        <w:t>万元，在20</w:t>
      </w:r>
      <w:r>
        <w:rPr>
          <w:rFonts w:hint="eastAsia" w:ascii="仿宋_GB2312" w:eastAsia="仿宋_GB2312"/>
          <w:sz w:val="32"/>
          <w:szCs w:val="32"/>
          <w:lang w:val="en-US" w:eastAsia="zh-CN"/>
        </w:rPr>
        <w:t>20</w:t>
      </w:r>
      <w:r>
        <w:rPr>
          <w:rFonts w:hint="eastAsia" w:ascii="仿宋_GB2312" w:eastAsia="仿宋_GB2312"/>
          <w:sz w:val="32"/>
          <w:szCs w:val="32"/>
        </w:rPr>
        <w:t>年度继续安排使用。</w:t>
      </w:r>
    </w:p>
    <w:p>
      <w:pPr>
        <w:keepNext w:val="0"/>
        <w:keepLines w:val="0"/>
        <w:pageBreakBefore w:val="0"/>
        <w:widowControl w:val="0"/>
        <w:kinsoku/>
        <w:wordWrap/>
        <w:overflowPunct/>
        <w:topLinePunct w:val="0"/>
        <w:autoSpaceDE/>
        <w:autoSpaceDN/>
        <w:bidi w:val="0"/>
        <w:adjustRightInd w:val="0"/>
        <w:snapToGrid w:val="0"/>
        <w:spacing w:after="0" w:line="6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二、举借债务情况</w:t>
      </w:r>
    </w:p>
    <w:p>
      <w:pPr>
        <w:keepNext w:val="0"/>
        <w:keepLines w:val="0"/>
        <w:pageBreakBefore w:val="0"/>
        <w:widowControl w:val="0"/>
        <w:numPr>
          <w:ilvl w:val="0"/>
          <w:numId w:val="0"/>
        </w:numPr>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ascii="仿宋_GB2312" w:hAnsi="仿宋_GB2312" w:eastAsia="仿宋_GB2312" w:cs="仿宋_GB2312"/>
          <w:b w:val="0"/>
          <w:bCs/>
          <w:color w:val="000000"/>
          <w:kern w:val="0"/>
          <w:sz w:val="32"/>
        </w:rPr>
      </w:pPr>
      <w:r>
        <w:rPr>
          <w:rFonts w:hint="eastAsia" w:ascii="仿宋_GB2312" w:hAnsi="仿宋_GB2312" w:eastAsia="仿宋_GB2312" w:cs="仿宋_GB2312"/>
          <w:b w:val="0"/>
          <w:bCs/>
          <w:color w:val="000000"/>
          <w:kern w:val="0"/>
          <w:sz w:val="32"/>
        </w:rPr>
        <w:t>1、政府债务收入</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rPr>
      </w:pPr>
      <w:r>
        <w:rPr>
          <w:rFonts w:hint="eastAsia" w:eastAsia="仿宋_GB2312"/>
          <w:sz w:val="32"/>
          <w:szCs w:val="32"/>
        </w:rPr>
        <w:t>201</w:t>
      </w:r>
      <w:r>
        <w:rPr>
          <w:rFonts w:hint="eastAsia" w:eastAsia="仿宋_GB2312"/>
          <w:sz w:val="32"/>
          <w:szCs w:val="32"/>
          <w:lang w:val="en-US" w:eastAsia="zh-CN"/>
        </w:rPr>
        <w:t>9</w:t>
      </w:r>
      <w:r>
        <w:rPr>
          <w:rFonts w:hint="eastAsia" w:eastAsia="仿宋_GB2312"/>
          <w:sz w:val="32"/>
          <w:szCs w:val="32"/>
        </w:rPr>
        <w:t>年</w:t>
      </w:r>
      <w:r>
        <w:rPr>
          <w:rFonts w:hint="eastAsia" w:eastAsia="仿宋_GB2312"/>
          <w:sz w:val="32"/>
          <w:szCs w:val="32"/>
          <w:lang w:eastAsia="zh-CN"/>
        </w:rPr>
        <w:t>转贷</w:t>
      </w:r>
      <w:r>
        <w:rPr>
          <w:rFonts w:hint="eastAsia" w:eastAsia="仿宋_GB2312"/>
          <w:sz w:val="32"/>
          <w:szCs w:val="32"/>
        </w:rPr>
        <w:t>上级发行的债券</w:t>
      </w:r>
      <w:r>
        <w:rPr>
          <w:rFonts w:hint="eastAsia" w:eastAsia="仿宋_GB2312"/>
          <w:sz w:val="32"/>
          <w:szCs w:val="32"/>
          <w:lang w:val="en-US" w:eastAsia="zh-CN"/>
        </w:rPr>
        <w:t>17800</w:t>
      </w:r>
      <w:r>
        <w:rPr>
          <w:rFonts w:hint="eastAsia" w:eastAsia="仿宋_GB2312"/>
          <w:sz w:val="32"/>
          <w:szCs w:val="32"/>
        </w:rPr>
        <w:t>万元。其中：</w:t>
      </w:r>
      <w:r>
        <w:rPr>
          <w:rFonts w:hint="eastAsia" w:eastAsia="仿宋_GB2312"/>
          <w:sz w:val="32"/>
          <w:szCs w:val="32"/>
          <w:lang w:eastAsia="zh-CN"/>
        </w:rPr>
        <w:t>一般债券</w:t>
      </w:r>
      <w:r>
        <w:rPr>
          <w:rFonts w:hint="eastAsia" w:eastAsia="仿宋_GB2312"/>
          <w:sz w:val="32"/>
          <w:szCs w:val="32"/>
          <w:lang w:val="en-US" w:eastAsia="zh-CN"/>
        </w:rPr>
        <w:t>8600万元，</w:t>
      </w:r>
      <w:r>
        <w:rPr>
          <w:rFonts w:hint="eastAsia" w:eastAsia="仿宋_GB2312"/>
          <w:sz w:val="32"/>
          <w:szCs w:val="32"/>
        </w:rPr>
        <w:t>专项债券</w:t>
      </w:r>
      <w:r>
        <w:rPr>
          <w:rFonts w:hint="eastAsia" w:eastAsia="仿宋_GB2312"/>
          <w:sz w:val="32"/>
          <w:szCs w:val="32"/>
          <w:lang w:val="en-US" w:eastAsia="zh-CN"/>
        </w:rPr>
        <w:t>9200</w:t>
      </w:r>
      <w:r>
        <w:rPr>
          <w:rFonts w:hint="eastAsia" w:eastAsia="仿宋_GB2312"/>
          <w:sz w:val="32"/>
          <w:szCs w:val="32"/>
        </w:rPr>
        <w:t>万元。</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b/>
          <w:color w:val="000000"/>
          <w:kern w:val="0"/>
          <w:sz w:val="32"/>
          <w:lang w:val="en-US" w:eastAsia="zh-CN"/>
        </w:rPr>
      </w:pPr>
      <w:r>
        <w:rPr>
          <w:rFonts w:hint="eastAsia" w:ascii="仿宋_GB2312" w:hAnsi="仿宋_GB2312" w:eastAsia="仿宋_GB2312" w:cs="仿宋_GB2312"/>
          <w:b w:val="0"/>
          <w:bCs/>
          <w:color w:val="000000"/>
          <w:kern w:val="0"/>
          <w:sz w:val="32"/>
        </w:rPr>
        <w:t>2、政府债务</w:t>
      </w:r>
      <w:r>
        <w:rPr>
          <w:rFonts w:hint="eastAsia" w:ascii="仿宋_GB2312" w:hAnsi="仿宋_GB2312" w:eastAsia="仿宋_GB2312" w:cs="仿宋_GB2312"/>
          <w:b w:val="0"/>
          <w:bCs/>
          <w:color w:val="000000"/>
          <w:kern w:val="0"/>
          <w:sz w:val="32"/>
          <w:lang w:eastAsia="zh-CN"/>
        </w:rPr>
        <w:t>化解</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rPr>
      </w:pPr>
      <w:r>
        <w:rPr>
          <w:rFonts w:hint="eastAsia" w:eastAsia="仿宋_GB2312"/>
          <w:sz w:val="32"/>
          <w:szCs w:val="32"/>
        </w:rPr>
        <w:t>201</w:t>
      </w:r>
      <w:r>
        <w:rPr>
          <w:rFonts w:hint="eastAsia" w:eastAsia="仿宋_GB2312"/>
          <w:sz w:val="32"/>
          <w:szCs w:val="32"/>
          <w:lang w:val="en-US" w:eastAsia="zh-CN"/>
        </w:rPr>
        <w:t>9</w:t>
      </w:r>
      <w:r>
        <w:rPr>
          <w:rFonts w:hint="eastAsia" w:eastAsia="仿宋_GB2312"/>
          <w:sz w:val="32"/>
          <w:szCs w:val="32"/>
        </w:rPr>
        <w:t>年政府化解债务系统内债</w:t>
      </w:r>
      <w:r>
        <w:rPr>
          <w:rFonts w:hint="eastAsia" w:eastAsia="仿宋_GB2312"/>
          <w:sz w:val="32"/>
          <w:szCs w:val="32"/>
          <w:shd w:val="clear" w:color="auto" w:fill="auto"/>
        </w:rPr>
        <w:t>务</w:t>
      </w:r>
      <w:r>
        <w:rPr>
          <w:rFonts w:hint="eastAsia" w:eastAsia="仿宋_GB2312"/>
          <w:sz w:val="32"/>
          <w:szCs w:val="32"/>
          <w:shd w:val="clear" w:color="auto" w:fill="auto"/>
          <w:lang w:val="en-US" w:eastAsia="zh-CN"/>
        </w:rPr>
        <w:t>2425</w:t>
      </w:r>
      <w:r>
        <w:rPr>
          <w:rFonts w:hint="eastAsia" w:eastAsia="仿宋_GB2312"/>
          <w:sz w:val="32"/>
          <w:szCs w:val="32"/>
          <w:shd w:val="clear" w:color="auto" w:fill="auto"/>
        </w:rPr>
        <w:t>万元</w:t>
      </w:r>
      <w:r>
        <w:rPr>
          <w:rFonts w:hint="eastAsia" w:eastAsia="仿宋_GB2312"/>
          <w:sz w:val="32"/>
          <w:szCs w:val="32"/>
          <w:shd w:val="clear" w:color="auto" w:fill="auto"/>
          <w:lang w:val="en-US" w:eastAsia="zh-CN"/>
        </w:rPr>
        <w:t>,全部为</w:t>
      </w:r>
      <w:r>
        <w:rPr>
          <w:rFonts w:hint="eastAsia" w:eastAsia="仿宋_GB2312"/>
          <w:sz w:val="32"/>
          <w:szCs w:val="32"/>
        </w:rPr>
        <w:t>一般债务。</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ascii="仿宋_GB2312" w:hAnsi="仿宋_GB2312" w:eastAsia="仿宋_GB2312" w:cs="仿宋_GB2312"/>
          <w:b w:val="0"/>
          <w:bCs/>
          <w:color w:val="000000"/>
          <w:kern w:val="0"/>
          <w:sz w:val="32"/>
        </w:rPr>
      </w:pPr>
      <w:r>
        <w:rPr>
          <w:rFonts w:hint="eastAsia" w:ascii="仿宋_GB2312" w:hAnsi="仿宋_GB2312" w:eastAsia="仿宋_GB2312" w:cs="仿宋_GB2312"/>
          <w:b w:val="0"/>
          <w:bCs/>
          <w:color w:val="000000"/>
          <w:kern w:val="0"/>
          <w:sz w:val="32"/>
        </w:rPr>
        <w:t>3、政府债务收支平衡情况</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微软雅黑"/>
          <w:lang w:eastAsia="zh-CN"/>
        </w:rPr>
      </w:pPr>
      <w:r>
        <w:rPr>
          <w:rFonts w:hint="eastAsia" w:eastAsia="仿宋_GB2312"/>
          <w:sz w:val="32"/>
          <w:szCs w:val="32"/>
        </w:rPr>
        <w:t>201</w:t>
      </w:r>
      <w:r>
        <w:rPr>
          <w:rFonts w:hint="eastAsia" w:eastAsia="仿宋_GB2312"/>
          <w:sz w:val="32"/>
          <w:szCs w:val="32"/>
          <w:lang w:val="en-US" w:eastAsia="zh-CN"/>
        </w:rPr>
        <w:t>9</w:t>
      </w:r>
      <w:r>
        <w:rPr>
          <w:rFonts w:hint="eastAsia" w:eastAsia="仿宋_GB2312"/>
          <w:sz w:val="32"/>
          <w:szCs w:val="32"/>
        </w:rPr>
        <w:t>年</w:t>
      </w:r>
      <w:r>
        <w:rPr>
          <w:rFonts w:hint="eastAsia" w:eastAsia="仿宋_GB2312"/>
          <w:sz w:val="32"/>
          <w:szCs w:val="32"/>
          <w:lang w:eastAsia="zh-CN"/>
        </w:rPr>
        <w:t>转贷</w:t>
      </w:r>
      <w:r>
        <w:rPr>
          <w:rFonts w:hint="eastAsia" w:eastAsia="仿宋_GB2312"/>
          <w:sz w:val="32"/>
          <w:szCs w:val="32"/>
        </w:rPr>
        <w:t>政府债券</w:t>
      </w:r>
      <w:r>
        <w:rPr>
          <w:rFonts w:hint="eastAsia" w:eastAsia="仿宋_GB2312"/>
          <w:sz w:val="32"/>
          <w:szCs w:val="32"/>
          <w:lang w:val="en-US" w:eastAsia="zh-CN"/>
        </w:rPr>
        <w:t>17800</w:t>
      </w:r>
      <w:r>
        <w:rPr>
          <w:rFonts w:hint="eastAsia" w:eastAsia="仿宋_GB2312"/>
          <w:sz w:val="32"/>
          <w:szCs w:val="32"/>
        </w:rPr>
        <w:t>万元，年初政府债务系统的债务余额</w:t>
      </w:r>
      <w:r>
        <w:rPr>
          <w:rFonts w:hint="eastAsia" w:eastAsia="仿宋_GB2312"/>
          <w:sz w:val="32"/>
          <w:szCs w:val="32"/>
          <w:lang w:val="en-US" w:eastAsia="zh-CN"/>
        </w:rPr>
        <w:t>85981</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化解债务</w:t>
      </w:r>
      <w:r>
        <w:rPr>
          <w:rFonts w:hint="eastAsia" w:eastAsia="仿宋_GB2312"/>
          <w:sz w:val="32"/>
          <w:szCs w:val="32"/>
          <w:shd w:val="clear" w:color="auto" w:fill="auto"/>
          <w:lang w:val="en-US" w:eastAsia="zh-CN"/>
        </w:rPr>
        <w:t>2425</w:t>
      </w:r>
      <w:r>
        <w:rPr>
          <w:rFonts w:hint="eastAsia" w:eastAsia="仿宋_GB2312"/>
          <w:sz w:val="32"/>
          <w:szCs w:val="32"/>
        </w:rPr>
        <w:t>万元，年末政府债务系统的债务余额</w:t>
      </w:r>
      <w:r>
        <w:rPr>
          <w:rFonts w:hint="eastAsia" w:eastAsia="仿宋_GB2312"/>
          <w:sz w:val="32"/>
          <w:szCs w:val="32"/>
          <w:lang w:val="en-US" w:eastAsia="zh-CN"/>
        </w:rPr>
        <w:t>101356</w:t>
      </w:r>
      <w:r>
        <w:rPr>
          <w:rFonts w:hint="eastAsia" w:eastAsia="仿宋_GB2312"/>
          <w:sz w:val="32"/>
          <w:szCs w:val="32"/>
        </w:rPr>
        <w:t>万元，其中：一般债务</w:t>
      </w:r>
      <w:r>
        <w:rPr>
          <w:rFonts w:hint="eastAsia" w:eastAsia="仿宋_GB2312"/>
          <w:sz w:val="32"/>
          <w:szCs w:val="32"/>
          <w:lang w:val="en-US" w:eastAsia="zh-CN"/>
        </w:rPr>
        <w:t>64418</w:t>
      </w:r>
      <w:r>
        <w:rPr>
          <w:rFonts w:hint="eastAsia" w:eastAsia="仿宋_GB2312"/>
          <w:sz w:val="32"/>
          <w:szCs w:val="32"/>
        </w:rPr>
        <w:t>万元，专项债务</w:t>
      </w:r>
      <w:r>
        <w:rPr>
          <w:rFonts w:hint="eastAsia" w:eastAsia="仿宋_GB2312"/>
          <w:sz w:val="32"/>
          <w:szCs w:val="32"/>
          <w:lang w:val="en-US" w:eastAsia="zh-CN"/>
        </w:rPr>
        <w:t>36938</w:t>
      </w:r>
      <w:r>
        <w:rPr>
          <w:rFonts w:hint="eastAsia" w:eastAsia="仿宋_GB2312"/>
          <w:sz w:val="32"/>
          <w:szCs w:val="32"/>
        </w:rPr>
        <w:t>万元；上级部门确定的债务余额限额</w:t>
      </w:r>
      <w:r>
        <w:rPr>
          <w:rFonts w:hint="eastAsia" w:eastAsia="仿宋_GB2312"/>
          <w:sz w:val="32"/>
          <w:szCs w:val="32"/>
          <w:lang w:val="en-US" w:eastAsia="zh-CN"/>
        </w:rPr>
        <w:t>120200</w:t>
      </w:r>
      <w:r>
        <w:rPr>
          <w:rFonts w:hint="eastAsia" w:eastAsia="仿宋_GB2312"/>
          <w:sz w:val="32"/>
          <w:szCs w:val="32"/>
        </w:rPr>
        <w:t>万元。其中：一般债务</w:t>
      </w:r>
      <w:r>
        <w:rPr>
          <w:rFonts w:hint="eastAsia" w:eastAsia="仿宋_GB2312"/>
          <w:sz w:val="32"/>
          <w:szCs w:val="32"/>
          <w:lang w:val="en-US" w:eastAsia="zh-CN"/>
        </w:rPr>
        <w:t>80000</w:t>
      </w:r>
      <w:r>
        <w:rPr>
          <w:rFonts w:hint="eastAsia" w:eastAsia="仿宋_GB2312"/>
          <w:sz w:val="32"/>
          <w:szCs w:val="32"/>
        </w:rPr>
        <w:t>万元，专项债务</w:t>
      </w:r>
      <w:r>
        <w:rPr>
          <w:rFonts w:hint="eastAsia" w:eastAsia="仿宋_GB2312"/>
          <w:sz w:val="32"/>
          <w:szCs w:val="32"/>
          <w:lang w:val="en-US" w:eastAsia="zh-CN"/>
        </w:rPr>
        <w:t>40200</w:t>
      </w:r>
      <w:r>
        <w:rPr>
          <w:rFonts w:hint="eastAsia" w:eastAsia="仿宋_GB2312"/>
          <w:sz w:val="32"/>
          <w:szCs w:val="32"/>
        </w:rPr>
        <w:t>万元，我县</w:t>
      </w:r>
      <w:r>
        <w:rPr>
          <w:rFonts w:hint="eastAsia" w:eastAsia="仿宋_GB2312"/>
          <w:sz w:val="32"/>
          <w:szCs w:val="32"/>
          <w:lang w:eastAsia="zh-CN"/>
        </w:rPr>
        <w:t>列入政府系统内的债务</w:t>
      </w:r>
      <w:r>
        <w:rPr>
          <w:rFonts w:hint="eastAsia" w:eastAsia="仿宋_GB2312"/>
          <w:sz w:val="32"/>
          <w:szCs w:val="32"/>
        </w:rPr>
        <w:t>未超规定限额。</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6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预算绩效工作开展情况</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2019年，我局在全县全面开展财政支出绩效评价工作，计划从本级预算安排、县委县政府确定的重点项目或重大民生项目中选择开展财政重点支出绩效评价，涵盖了农业、教育、医疗卫生、社保等多个重点领域和行业，确保绩效与预算具有同等约束。</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一是明确工作亮重点。明确评价对象、工作步骤和工作重点，牢固树立预算单位“花钱必问效，无效必问责”的理念。</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二是引入中介共参与。引入第三方中介机构参与我县绩效评价，充分吸取运用中介机构站在更加客观、公正的第三方角度以及平时开展业务评价的经验总结，完善我县绩效评价流程，提高评价质量，提升评价效果。</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三是扎实开展保质量。从“确保资金高效、加强绩效管理、加强监督检查”三方面着力，现场查阅项目决策过程、资金分配、资金到位、资金使用、财务管理等相关资料，对评价过程中发现的问题提出意见和建议，规范评价过程，提升评价质量，并在完成省市下达的绩效评价目标任务的基础上，自我加压，扩大绩效评价范围，积累工作经验。</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四是认真整改强落实。针对绩效评价中发现的问题，及时与相关单位交换意见，下发整改通知书，督促单位及时采取措施加以整改完善，不走过场，不搞形式。</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五是强化运用促规范。根据评价情况，进一步强化结果运用，与单位调整预算和下年度预算编制挂钩，促进单位进一步规范管理，保障资金安全，提高资金使用效益。</w:t>
      </w:r>
    </w:p>
    <w:p>
      <w:pPr>
        <w:keepNext w:val="0"/>
        <w:keepLines w:val="0"/>
        <w:pageBreakBefore w:val="0"/>
        <w:widowControl w:val="0"/>
        <w:tabs>
          <w:tab w:val="left" w:pos="2160"/>
        </w:tabs>
        <w:kinsoku/>
        <w:wordWrap/>
        <w:overflowPunct/>
        <w:topLinePunct w:val="0"/>
        <w:autoSpaceDE/>
        <w:autoSpaceDN/>
        <w:bidi w:val="0"/>
        <w:adjustRightInd w:val="0"/>
        <w:snapToGrid w:val="0"/>
        <w:spacing w:after="0" w:line="6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四、“三公”经费决算执行情况</w:t>
      </w:r>
    </w:p>
    <w:p>
      <w:pPr>
        <w:keepNext w:val="0"/>
        <w:keepLines w:val="0"/>
        <w:pageBreakBefore w:val="0"/>
        <w:widowControl w:val="0"/>
        <w:kinsoku/>
        <w:wordWrap/>
        <w:overflowPunct/>
        <w:topLinePunct w:val="0"/>
        <w:autoSpaceDE/>
        <w:autoSpaceDN/>
        <w:bidi w:val="0"/>
        <w:adjustRightInd/>
        <w:snapToGrid/>
        <w:spacing w:after="0" w:line="6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年“三公经费”年初预算</w:t>
      </w:r>
      <w:r>
        <w:rPr>
          <w:rFonts w:hint="eastAsia" w:ascii="仿宋_GB2312" w:eastAsia="仿宋_GB2312"/>
          <w:sz w:val="32"/>
          <w:szCs w:val="32"/>
          <w:lang w:val="en-US" w:eastAsia="zh-CN"/>
        </w:rPr>
        <w:t>796.88</w:t>
      </w:r>
      <w:r>
        <w:rPr>
          <w:rFonts w:hint="eastAsia" w:ascii="仿宋_GB2312" w:eastAsia="仿宋_GB2312"/>
          <w:sz w:val="32"/>
          <w:szCs w:val="32"/>
        </w:rPr>
        <w:t>万元，年终实际支出</w:t>
      </w:r>
      <w:r>
        <w:rPr>
          <w:rFonts w:hint="eastAsia" w:ascii="仿宋_GB2312" w:eastAsia="仿宋_GB2312"/>
          <w:sz w:val="32"/>
          <w:szCs w:val="32"/>
          <w:lang w:val="en-US" w:eastAsia="zh-CN"/>
        </w:rPr>
        <w:t>689.72</w:t>
      </w:r>
      <w:r>
        <w:rPr>
          <w:rFonts w:hint="eastAsia" w:ascii="仿宋_GB2312" w:eastAsia="仿宋_GB2312"/>
          <w:sz w:val="32"/>
          <w:szCs w:val="32"/>
        </w:rPr>
        <w:t>万元，</w:t>
      </w:r>
      <w:r>
        <w:rPr>
          <w:rFonts w:hint="eastAsia" w:ascii="仿宋_GB2312" w:eastAsia="仿宋_GB2312"/>
          <w:sz w:val="32"/>
          <w:szCs w:val="32"/>
          <w:lang w:eastAsia="zh-CN"/>
        </w:rPr>
        <w:t>同比</w:t>
      </w:r>
      <w:r>
        <w:rPr>
          <w:rFonts w:hint="eastAsia" w:ascii="仿宋_GB2312" w:eastAsia="仿宋_GB2312"/>
          <w:sz w:val="32"/>
          <w:szCs w:val="32"/>
        </w:rPr>
        <w:t>下降</w:t>
      </w:r>
      <w:r>
        <w:rPr>
          <w:rFonts w:hint="eastAsia" w:ascii="仿宋_GB2312" w:eastAsia="仿宋_GB2312"/>
          <w:sz w:val="32"/>
          <w:szCs w:val="32"/>
          <w:lang w:val="en-US" w:eastAsia="zh-CN"/>
        </w:rPr>
        <w:t>3.27</w:t>
      </w:r>
      <w:r>
        <w:rPr>
          <w:rFonts w:hint="eastAsia" w:ascii="仿宋_GB2312" w:eastAsia="仿宋_GB2312"/>
          <w:sz w:val="32"/>
          <w:szCs w:val="32"/>
        </w:rPr>
        <w:t>%，主要是进一步控制压缩了“三公经费”支出。</w:t>
      </w:r>
    </w:p>
    <w:p>
      <w:pPr>
        <w:keepNext w:val="0"/>
        <w:keepLines w:val="0"/>
        <w:pageBreakBefore w:val="0"/>
        <w:widowControl w:val="0"/>
        <w:kinsoku/>
        <w:wordWrap/>
        <w:overflowPunct/>
        <w:topLinePunct w:val="0"/>
        <w:autoSpaceDE/>
        <w:autoSpaceDN/>
        <w:bidi w:val="0"/>
        <w:adjustRightInd/>
        <w:snapToGrid/>
        <w:spacing w:after="0" w:line="6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1、因公出国(境) </w:t>
      </w:r>
      <w:r>
        <w:rPr>
          <w:rFonts w:hint="eastAsia" w:ascii="仿宋_GB2312" w:eastAsia="仿宋_GB2312"/>
          <w:sz w:val="32"/>
          <w:szCs w:val="32"/>
          <w:lang w:val="en-US" w:eastAsia="zh-CN"/>
        </w:rPr>
        <w:t>12.15</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after="0" w:line="6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2、公务用车购置及运行维护费</w:t>
      </w:r>
      <w:r>
        <w:rPr>
          <w:rFonts w:hint="eastAsia" w:ascii="仿宋_GB2312" w:eastAsia="仿宋_GB2312"/>
          <w:sz w:val="32"/>
          <w:szCs w:val="32"/>
          <w:lang w:val="en-US" w:eastAsia="zh-CN"/>
        </w:rPr>
        <w:t>256.42</w:t>
      </w:r>
      <w:r>
        <w:rPr>
          <w:rFonts w:hint="eastAsia" w:ascii="仿宋_GB2312" w:eastAsia="仿宋_GB2312"/>
          <w:sz w:val="32"/>
          <w:szCs w:val="32"/>
        </w:rPr>
        <w:t>万元，同比</w:t>
      </w:r>
      <w:r>
        <w:rPr>
          <w:rFonts w:hint="eastAsia" w:ascii="仿宋_GB2312" w:eastAsia="仿宋_GB2312"/>
          <w:sz w:val="32"/>
          <w:szCs w:val="32"/>
          <w:lang w:eastAsia="zh-CN"/>
        </w:rPr>
        <w:t>增长</w:t>
      </w:r>
      <w:r>
        <w:rPr>
          <w:rFonts w:hint="eastAsia" w:ascii="仿宋_GB2312" w:eastAsia="仿宋_GB2312"/>
          <w:sz w:val="32"/>
          <w:szCs w:val="32"/>
          <w:lang w:val="en-US" w:eastAsia="zh-CN"/>
        </w:rPr>
        <w:t>9.11</w:t>
      </w:r>
      <w:r>
        <w:rPr>
          <w:rFonts w:hint="eastAsia" w:ascii="仿宋_GB2312" w:eastAsia="仿宋_GB2312"/>
          <w:sz w:val="32"/>
          <w:szCs w:val="32"/>
        </w:rPr>
        <w:t>%</w:t>
      </w:r>
      <w:r>
        <w:rPr>
          <w:rFonts w:hint="eastAsia" w:ascii="仿宋_GB2312" w:eastAsia="仿宋_GB2312"/>
          <w:sz w:val="32"/>
          <w:szCs w:val="32"/>
          <w:lang w:eastAsia="zh-CN"/>
        </w:rPr>
        <w:t>，主要是县纪委监委购买公务用车，其中：公务用车购置费</w:t>
      </w:r>
      <w:r>
        <w:rPr>
          <w:rFonts w:hint="eastAsia" w:ascii="仿宋_GB2312" w:eastAsia="仿宋_GB2312"/>
          <w:sz w:val="32"/>
          <w:szCs w:val="32"/>
          <w:lang w:val="en-US" w:eastAsia="zh-CN"/>
        </w:rPr>
        <w:t>44.35万元，运行维护费212.07万元，</w:t>
      </w:r>
      <w:r>
        <w:rPr>
          <w:rFonts w:hint="eastAsia" w:ascii="仿宋_GB2312" w:eastAsia="仿宋_GB2312"/>
          <w:sz w:val="32"/>
          <w:szCs w:val="32"/>
        </w:rPr>
        <w:t>年度用车保有量</w:t>
      </w:r>
      <w:r>
        <w:rPr>
          <w:rFonts w:hint="eastAsia" w:ascii="仿宋_GB2312" w:eastAsia="仿宋_GB2312"/>
          <w:sz w:val="32"/>
          <w:szCs w:val="32"/>
          <w:lang w:val="en-US" w:eastAsia="zh-CN"/>
        </w:rPr>
        <w:t>179</w:t>
      </w:r>
      <w:r>
        <w:rPr>
          <w:rFonts w:hint="eastAsia" w:ascii="仿宋_GB2312" w:eastAsia="仿宋_GB2312"/>
          <w:sz w:val="32"/>
          <w:szCs w:val="32"/>
        </w:rPr>
        <w:t>辆；</w:t>
      </w:r>
    </w:p>
    <w:p>
      <w:pPr>
        <w:keepNext w:val="0"/>
        <w:keepLines w:val="0"/>
        <w:pageBreakBefore w:val="0"/>
        <w:widowControl w:val="0"/>
        <w:kinsoku/>
        <w:wordWrap/>
        <w:overflowPunct/>
        <w:topLinePunct w:val="0"/>
        <w:autoSpaceDE/>
        <w:autoSpaceDN/>
        <w:bidi w:val="0"/>
        <w:adjustRightInd/>
        <w:snapToGrid/>
        <w:spacing w:after="0" w:line="6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3、公务接待费</w:t>
      </w:r>
      <w:r>
        <w:rPr>
          <w:rFonts w:hint="eastAsia" w:ascii="仿宋_GB2312" w:eastAsia="仿宋_GB2312"/>
          <w:sz w:val="32"/>
          <w:szCs w:val="32"/>
          <w:lang w:val="en-US" w:eastAsia="zh-CN"/>
        </w:rPr>
        <w:t>421.16</w:t>
      </w:r>
      <w:r>
        <w:rPr>
          <w:rFonts w:hint="eastAsia" w:ascii="仿宋_GB2312" w:eastAsia="仿宋_GB2312"/>
          <w:sz w:val="32"/>
          <w:szCs w:val="32"/>
        </w:rPr>
        <w:t>万元，同比下降</w:t>
      </w:r>
      <w:r>
        <w:rPr>
          <w:rFonts w:hint="eastAsia" w:ascii="仿宋_GB2312" w:eastAsia="仿宋_GB2312"/>
          <w:sz w:val="32"/>
          <w:szCs w:val="32"/>
          <w:lang w:val="en-US" w:eastAsia="zh-CN"/>
        </w:rPr>
        <w:t>9.42</w:t>
      </w:r>
      <w:r>
        <w:rPr>
          <w:rFonts w:hint="eastAsia" w:ascii="仿宋_GB2312" w:eastAsia="仿宋_GB2312"/>
          <w:sz w:val="32"/>
          <w:szCs w:val="32"/>
        </w:rPr>
        <w:t>%，全年共接待批次</w:t>
      </w:r>
      <w:r>
        <w:rPr>
          <w:rFonts w:hint="eastAsia" w:ascii="仿宋_GB2312" w:eastAsia="仿宋_GB2312"/>
          <w:sz w:val="32"/>
          <w:szCs w:val="32"/>
          <w:lang w:val="en-US" w:eastAsia="zh-CN"/>
        </w:rPr>
        <w:t>1731</w:t>
      </w:r>
      <w:r>
        <w:rPr>
          <w:rFonts w:hint="eastAsia" w:ascii="仿宋_GB2312" w:eastAsia="仿宋_GB2312"/>
          <w:sz w:val="32"/>
          <w:szCs w:val="32"/>
          <w:lang w:eastAsia="zh-CN"/>
        </w:rPr>
        <w:t>批</w:t>
      </w:r>
      <w:r>
        <w:rPr>
          <w:rFonts w:hint="eastAsia" w:ascii="仿宋_GB2312" w:eastAsia="仿宋_GB2312"/>
          <w:sz w:val="32"/>
          <w:szCs w:val="32"/>
        </w:rPr>
        <w:t>，接待人次</w:t>
      </w:r>
      <w:r>
        <w:rPr>
          <w:rFonts w:hint="eastAsia" w:ascii="仿宋_GB2312" w:eastAsia="仿宋_GB2312"/>
          <w:sz w:val="32"/>
          <w:szCs w:val="32"/>
          <w:lang w:val="en-US" w:eastAsia="zh-CN"/>
        </w:rPr>
        <w:t>48269</w:t>
      </w:r>
      <w:r>
        <w:rPr>
          <w:rFonts w:hint="eastAsia" w:ascii="仿宋_GB2312" w:eastAsia="仿宋_GB2312"/>
          <w:sz w:val="32"/>
          <w:szCs w:val="32"/>
        </w:rPr>
        <w:t>人。</w:t>
      </w:r>
    </w:p>
    <w:p>
      <w:pPr>
        <w:keepNext w:val="0"/>
        <w:keepLines w:val="0"/>
        <w:pageBreakBefore w:val="0"/>
        <w:widowControl w:val="0"/>
        <w:kinsoku/>
        <w:wordWrap/>
        <w:overflowPunct/>
        <w:topLinePunct w:val="0"/>
        <w:autoSpaceDE/>
        <w:autoSpaceDN/>
        <w:bidi w:val="0"/>
        <w:spacing w:line="660" w:lineRule="exact"/>
        <w:textAlignment w:val="auto"/>
        <w:rPr>
          <w:rFonts w:hint="eastAsia" w:ascii="仿宋_GB2312" w:eastAsia="仿宋_GB2312"/>
          <w:sz w:val="32"/>
          <w:szCs w:val="32"/>
        </w:rPr>
      </w:pPr>
    </w:p>
    <w:p>
      <w:pPr>
        <w:keepNext w:val="0"/>
        <w:keepLines w:val="0"/>
        <w:pageBreakBefore w:val="0"/>
        <w:widowControl/>
        <w:tabs>
          <w:tab w:val="left" w:pos="2160"/>
        </w:tabs>
        <w:kinsoku/>
        <w:wordWrap/>
        <w:overflowPunct/>
        <w:topLinePunct w:val="0"/>
        <w:autoSpaceDE/>
        <w:autoSpaceDN/>
        <w:bidi w:val="0"/>
        <w:adjustRightInd w:val="0"/>
        <w:snapToGrid w:val="0"/>
        <w:spacing w:after="0" w:line="600" w:lineRule="exact"/>
        <w:ind w:firstLine="640" w:firstLineChars="200"/>
        <w:textAlignment w:val="auto"/>
        <w:rPr>
          <w:rFonts w:hint="eastAsia" w:eastAsia="仿宋_GB2312"/>
          <w:sz w:val="32"/>
          <w:szCs w:val="32"/>
          <w:lang w:val="en-US" w:eastAsia="zh-CN"/>
        </w:rPr>
      </w:pPr>
    </w:p>
    <w:p>
      <w:pPr>
        <w:keepNext w:val="0"/>
        <w:keepLines w:val="0"/>
        <w:pageBreakBefore w:val="0"/>
        <w:widowControl/>
        <w:tabs>
          <w:tab w:val="left" w:pos="2160"/>
        </w:tabs>
        <w:kinsoku/>
        <w:wordWrap/>
        <w:overflowPunct/>
        <w:topLinePunct w:val="0"/>
        <w:autoSpaceDE/>
        <w:autoSpaceDN/>
        <w:bidi w:val="0"/>
        <w:adjustRightInd w:val="0"/>
        <w:snapToGrid w:val="0"/>
        <w:spacing w:after="0" w:line="600" w:lineRule="exact"/>
        <w:ind w:firstLine="640" w:firstLineChars="200"/>
        <w:textAlignment w:val="auto"/>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2B4A4"/>
    <w:multiLevelType w:val="singleLevel"/>
    <w:tmpl w:val="D2A2B4A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873AE"/>
    <w:rsid w:val="3D341C9A"/>
    <w:rsid w:val="5AE94746"/>
    <w:rsid w:val="6668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2020-08-27T00:21:00Z</dcterms:created>
  <dc:creator>落叶</dc:creator>
  <cp:lastModifiedBy>落叶</cp:lastModifiedBy>
  <dcterms:modified xsi:type="dcterms:W3CDTF">2020-08-27T00:53:01Z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