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右玉县2024年市级衔接资金项目安排表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600" w:lineRule="exact"/>
        <w:ind w:firstLine="640" w:firstLineChars="200"/>
        <w:jc w:val="right"/>
        <w:textAlignment w:val="baseline"/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  <w:t>单位：万元）</w:t>
      </w:r>
    </w:p>
    <w:tbl>
      <w:tblPr>
        <w:tblStyle w:val="2"/>
        <w:tblW w:w="14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39"/>
        <w:gridCol w:w="3126"/>
        <w:gridCol w:w="2044"/>
        <w:gridCol w:w="2265"/>
        <w:gridCol w:w="2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蘑菇种植厂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马营河村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杀虎口风景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驻村帮扶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市级驻乡、村工作队联系点乡村振兴项目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各项目村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各项目村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高标准农田建设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115.65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全县范围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“千万”工程项目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各项目村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各项目村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2024年市级驻乡、村工作队联系点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乡村振兴项目资金计划分解表</w:t>
      </w:r>
    </w:p>
    <w:tbl>
      <w:tblPr>
        <w:tblStyle w:val="2"/>
        <w:tblW w:w="8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313"/>
        <w:gridCol w:w="2062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县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区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)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名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乡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镇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村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)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资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金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万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元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右玉县高家堡乡大川村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高家堡乡边家堡村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高家堡乡刘虎狮村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右玉县牛心堡乡施官屯村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牛心堡乡黄土坡村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威远镇白塘村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右玉县威远镇后所堡村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右玉县威远镇双合屯村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李达窑乡残虎堡村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李达窑乡暖泉村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李达窑乡西十五沟村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李达窑乡赵家窑村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右卫镇黑流堡村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右玉县新城镇七里铺村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新城镇段家山村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右玉县右卫镇东兴村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右玉县杀虎口风景区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马营河村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右玉县新城镇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右玉县威远镇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右玉县右卫镇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snapToGrid w:val="0"/>
                <w:color w:val="000000"/>
                <w:lang w:val="en-US" w:eastAsia="zh-CN" w:bidi="ar"/>
              </w:rPr>
              <w:t>合计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20个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右玉县高标准农田建设项目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配套资金计划分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  <w:t>单位：万元）</w:t>
      </w:r>
    </w:p>
    <w:tbl>
      <w:tblPr>
        <w:tblStyle w:val="2"/>
        <w:tblpPr w:leftFromText="180" w:rightFromText="180" w:vertAnchor="text" w:horzAnchor="page" w:tblpX="1814" w:tblpY="590"/>
        <w:tblOverlap w:val="never"/>
        <w:tblW w:w="13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4637"/>
        <w:gridCol w:w="2463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/>
                <w:bCs/>
                <w:snapToGrid w:val="0"/>
                <w:color w:val="000000"/>
                <w:sz w:val="36"/>
                <w:szCs w:val="36"/>
                <w:lang w:val="en-US" w:eastAsia="zh-CN" w:bidi="ar"/>
              </w:rPr>
              <w:t>县(市、区)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/>
                <w:bCs/>
                <w:snapToGrid w:val="0"/>
                <w:color w:val="000000"/>
                <w:sz w:val="36"/>
                <w:szCs w:val="36"/>
                <w:lang w:val="en-US" w:eastAsia="zh-CN" w:bidi="ar"/>
              </w:rPr>
              <w:t>农田建设任务(万亩)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/>
                <w:bCs/>
                <w:snapToGrid w:val="0"/>
                <w:color w:val="000000"/>
                <w:sz w:val="36"/>
                <w:szCs w:val="36"/>
                <w:lang w:val="en-US" w:eastAsia="zh-CN" w:bidi="ar"/>
              </w:rPr>
              <w:t>市级资金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/>
                <w:bCs/>
                <w:snapToGrid w:val="0"/>
                <w:color w:val="000000"/>
                <w:sz w:val="36"/>
                <w:szCs w:val="3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右玉县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1.00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115.65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/>
          <w:color w:val="000000"/>
          <w:kern w:val="30"/>
          <w:sz w:val="44"/>
          <w:szCs w:val="20"/>
          <w:lang w:val="en-US" w:eastAsia="zh-CN" w:bidi="ar-SA"/>
        </w:rPr>
        <w:t>右玉县“千万工程”项目资金分解表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600" w:lineRule="exact"/>
        <w:ind w:firstLine="640" w:firstLineChars="200"/>
        <w:jc w:val="right"/>
        <w:textAlignment w:val="baseline"/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napToGrid/>
          <w:kern w:val="2"/>
          <w:sz w:val="32"/>
          <w:szCs w:val="32"/>
          <w:lang w:val="en-US" w:eastAsia="zh-CN"/>
        </w:rPr>
        <w:t>单位：万元）</w:t>
      </w:r>
    </w:p>
    <w:tbl>
      <w:tblPr>
        <w:tblStyle w:val="2"/>
        <w:tblW w:w="83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275"/>
        <w:gridCol w:w="2250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县别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村数(个)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金额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威远村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董半川村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薛家堡村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杀虎口村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C875F2A-306F-4B49-B0DE-13F3BC3826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61ADF0C-3FB0-41E3-A4E0-E9EE1CB471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BFD047-8869-4DA8-809F-CBCD11DE6F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C0A214-1033-4C3A-A566-2C5915633E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404FB77-71AF-4A34-A912-F0D73889FE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38C739C2"/>
    <w:rsid w:val="38C739C2"/>
    <w:rsid w:val="440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620</Characters>
  <Lines>0</Lines>
  <Paragraphs>0</Paragraphs>
  <TotalTime>1</TotalTime>
  <ScaleCrop>false</ScaleCrop>
  <LinksUpToDate>false</LinksUpToDate>
  <CharactersWithSpaces>634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2024-04-28T02:11:00Z</dcterms:created>
  <dc:creator>充电俩分钟能浪俩小时</dc:creator>
  <cp:lastModifiedBy>张xq</cp:lastModifiedBy>
  <dcterms:modified xsi:type="dcterms:W3CDTF">2024-04-30T08:11:23Z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58D2328EFCA24FCB900D60588F8A77E5</vt:lpwstr>
  </property>
</Properties>
</file>