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70" w:beforeAutospacing="0" w:after="570" w:afterAutospacing="0"/>
        <w:ind w:left="0" w:right="0" w:firstLine="0"/>
        <w:jc w:val="center"/>
        <w:rPr>
          <w:rFonts w:hint="eastAsia" w:ascii="华文中宋" w:hAnsi="华文中宋" w:eastAsia="华文中宋" w:cs="华文中宋"/>
          <w:b/>
          <w:bCs/>
          <w:i w:val="0"/>
          <w:iCs w:val="0"/>
          <w:caps w:val="0"/>
          <w:color w:val="auto"/>
          <w:spacing w:val="0"/>
          <w:sz w:val="48"/>
          <w:szCs w:val="48"/>
        </w:rPr>
      </w:pPr>
      <w:r>
        <w:rPr>
          <w:rFonts w:hint="eastAsia" w:ascii="华文中宋" w:hAnsi="华文中宋" w:eastAsia="华文中宋" w:cs="华文中宋"/>
          <w:b/>
          <w:bCs/>
          <w:i w:val="0"/>
          <w:iCs w:val="0"/>
          <w:caps w:val="0"/>
          <w:color w:val="auto"/>
          <w:spacing w:val="0"/>
          <w:sz w:val="48"/>
          <w:szCs w:val="48"/>
          <w:bdr w:val="none" w:color="auto" w:sz="0" w:space="0"/>
          <w:shd w:val="clear" w:fill="FFFFFF"/>
        </w:rPr>
        <w:t>右玉县右卫镇人民政府2020年部门决算公开说明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一、部门职能职责及机构设置</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（一）部门职能职责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（二）机构设置及人员情况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（三）决算编报范围</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二、2020年部门决算公开表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三、关于收支情况总体说明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四、关于收入决算情况说明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五、关于支出决算情况说明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六、关于一般公共预算财政拨款收入决算情况说明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七、关于一般公共预算财政拨款支出决算情况说明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八、关于政府性基金预算财政拨款收入支出决算情况说明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九、国有资本经营预算财政拨款收入支出决算情况说明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十、一般公共预算财政拨款“三公”经费支出决算情况说明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十一、机关运行经费说明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十二、政府采购情况说明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十三、预算项目绩效评价情况说明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十四、国有资产占用情况说明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十五、名词解释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272" w:right="0" w:firstLine="482"/>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一、部门职能职责及机构设置</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（一）部门职能职责</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按照县委县政府有关文件规定，我单位主要职能如下：</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①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②制定并组织实施村镇建设规划，部署重点工程建设，地方道路建设及公共设施，水利设施的管理，负责土地、林木、水等自然资源和生态环境的保护，做好护林防火工作；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③负责本行政区域内的民政、计划生育、文化教育、卫生、体育等社会公益事业的综合性工作，维护一切经济单位和个人的正当经济权益，取缔非法经济活动，调解和处理民事纠纷，打击刑事犯罪维护社会稳定；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④按计划组织本级财政收入和地方税的征收，完成国家财政计划，管好财政资金，增强财政实力；</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⑤抓好精神文明建设，丰富群众文化生活，提倡移风易俗，反对封建迷信，破除陈规陋习，树立社会主义新风尚；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⑥完成上级政府交办的其它事项。</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（二）机构设置:</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内设机构6个，分别为办公室，财政服务站，社会保障和民政事务管理站，人口和计划生育服务所，养老事业保险所，农业技术服务推广中心。年末实有编制37个，其中行政编制15个，事业编制22个；在职人员37人，其中行政人员15人，事业人员22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（三）决算编报范围：</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2020年决算编报范围包括单位本级，未有二级预算单位。</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二、2020年部门决算公开表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1、2020年收入支出决算表（详见附件）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2、2020年收入决算表（详见附件）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3、2020年支出决算表（详见附件）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4、2020年财政拨款收入支出决算总表（详见附件）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5、2020年一般公共预算财政拨款支出决算表（一）（详见附件）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6、2020年一般公共预算财政拨款支出决算表（二）（详见附件）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7、2020年一般公共预算财政拨款“三公”经费支出表（详见附件）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8、2020年政府性基金预算财政拨款收入支出决算表（详见附件）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9、2020年国有资本经营预算财政拨款收入支出决算表（详见附件）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10、2020年部门决算公开相关信息统计表（详见附件）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三、关于收支情况总体说明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2020年我单位收入决算28238401.32元，其中财政拨款收入24172474.18元、其他收入4065927.14元。年初结转和结余3182091.69元。本年支出合计30320073.01元,其中一般公共服务支出3491127.67元、文化旅游体育与传媒支出75000元、社会保障和就业支出40320元、卫生健康支出175200元、节能环保支出3157254.80元、城乡社区支出4999079.00元、农林水支出17522091.54元、交通运输支出650000元、二十二、灾害防治及应急管理支出支出150000元、其他支出60000元。年末结转和结余1100420.00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四、关于收入决算情况说明：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2020年我单位收入共计28238401.32元，较2019年决算下降41.84%，减收20318348.88元，减收主要原因为2020年减少造林工程项目款476万元，凋敝宅基地盘活利用项目资金286万元，东兴村美丽村建设资金1000万及上级转移支付增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五、关于支出决算情况说明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2020年我单位本年支出合计30320073.01元，较2019年决算下降45.32%，减支-25,126405.54元，减支主要原因为2020年减少造林工程项目款476万元，凋敝宅基地盘活利用项目资金286万元，东兴村美丽村建设资金1000万相应支出。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六、关于一般公共预算财政拨款收入决算情况说明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2020年一般公共预算财政拨款合计收入19363395.18元，基本支出收入9279421元，项目支出收入10083974.18元。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七、关于一般公共预算财政拨款支出决算情况说明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本年支出合计22395066.87元，其中：基本支出10478157.69元，项目支出11916909.18元。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（一）基本支出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1、工资福利支出4438065.69元：基本工资1263365.17元、津贴补贴1656856.94元、奖金94936元、机关事业单位基本养老保险缴费995225.62元、职工基本医疗保险缴费116236.36元、其他社会保障缴费92159.60元、住房公积金219286元；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商品和服务支出5090880元：办公费280567.32元、印刷费137968元、手续费5200元、电费42733.95元、邮电费5468元、取暖费131297.22元、物业管理费262000元、维修（护）费3643465元、其他交通费用471145.51元、其他商品和服务支出104221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3、对个人和家庭的补助949212.00元：抚恤金16555元、生活补助932657元。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（二）项目支出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1、商品和服务支出163312元：专用材料费163312元、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2、对个人和家庭的补助949212.00元：生活补助2516117.80元、个人农业生产补贴1495664元。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3、资本性支出7741815.38元：基础设施建设7741815.38元。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八、关于政府性基金预算财政拨款收入支出决算情况说明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2020年本单位政府性基金收入4809079元，年初结转和结余50000元，本年支出4859079元，年末结转和结余0元。其中：基本支出0元，项目支出4859079元。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九、国有资本经营预算财政拨款收入支出决算情况说明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right="0" w:firstLine="640" w:firstLineChars="200"/>
        <w:jc w:val="lef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2020年根据预算没有安排国有资本经营预算，因此收入0元，支出0元。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十、关于一般公共预算财政拨款“三公”经费支出决算情况说明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2019年、2020年我单位三公经费支出合计为0元，原因为预算未安排相应支出。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1、因公出国（境）团组情况： 因公出国（境）费用0元。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本年度本单位使用公共预算财政拨款安排的出国（境）团组  0  个，参加其他单位组织的出国（境）团组 0个；全年因公出国（境）累计 0人次。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2、公务用车购置及维护保有情况：公务用车购置及运行维护费0元，其中：（1）公务用车购置费0元，（2）公务用车运行维护费0元。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本年度本单位使用公共预算财政拨款购置公务用车 0 辆，年末公共预算财政拨款开支运行维护费的公务用车保有量 0 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3. 公务接待情况：公务接待费0元，其中：（1）国内接待费0元，（2）国（境）外接待费0元。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本年度本单位使用公共预算财政拨款支出的国内公务接待 0 批次，0人次，共0元；外事接待0批次，0人次，0元，国（境）外公务接待批次0个，国（境）外公务接待人次0人。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十一、机关运行经费说明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2020年我单位机关运行经费支出合计为5090880元，较2019年增支445815.85元，增长9.60%，增支主要原因2020年村级运转经费增加。机关运行经费是指行政机关和参公事业单位的一般财政拨款基本支出中的公用支出。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十二、政府采购情况说明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2020年我单位政府采购支出合计4500元，其中：政府采购货物支出4500元，  政府采购工程支出0元、政府采购服务支出0元。具体货物为电脑一台。</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十三、预算项目绩效评价情况说明</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（一）绩效评价工作开展情况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右玉县右卫镇人民政府对2020年度部门项目支出实施绩效评价，评价项目23个，占部门项目总数的94%，涉及金额1853、65万元。其中，单位自评项目19个，涉及金额997、65万 元，评价得分在90(含)-100分的19个，评价结果为优秀的19个，中介机构评价项目4个，涉及金额860万元，评价得分在在90(含)-100分的4个，评价结果为优秀的4个。</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firstLine="48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（二）重点项目绩效评价报告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根据要求对200万元以上项目做重点项目绩效评价，本年度共两个分别为：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（一）右玉县右卫镇美丽乡村“一事一议”项目绩效评价报告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1、项目背景：右卫镇希望通过申报右卫镇三个村的一事一议美丽乡村建设项目，结合该镇艺术小镇建设项目，通过将下元村、头水泉村、东兴村集中连片建设，以改善村庄人居环境，提高农村精神文明建设水平、提升农民生态文明素养，形成农村生态文明新风尚，增强村民的可持续观念，构建和谐的生态文化体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2、项目主要内容：(1)下元村：村内道路两侧人行道铺设面包砖966.6平方米，花岗石板730平方米；沿街住户砌筑围墙180米，维修装饰围墙1800延长米，改造住户门头8个；改造党群服务中心237平方米；道路两旁及文化广场栽植乔木580株，灌木260平方米；村口设龙门架一座，村标一个。(2)头水泉村：村内道路两侧人行道铺设面包砖927平方米，花岗石板1238平方米；沿街住户砌筑围墙203米，维修装饰围墙1630延长米，修建花栏墙560米，改造党群服务中心150平方米，安装党建宣传栏，公示牌各一座，道路两旁及文化广场栽植乔木337株，草皮147平方米。文化活动广场新建景墙142.5米，安装休闲桌椅6把，健身器材10组；井道口设木栅栏3组；村口设村标一座。(3)东兴村：村内道路两侧人行道铺设面包砖1231.32平方米；硬化村内道路426.87平方米；文化广场铺设花岗岩124.8平方米，新建凉2座，安装健身器材10组，石坐凳1组；停车场硬化2111.61平方米；村四周修筑34.3米，挡土墙173米，修建排水明沟280米；文化广场及村内道路两侧栽植乔木3367株，灌木3214平米；商铺装修400平方米；村口设村标一座。</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3、项目资金使用情况：一是资金到位率。项目实际到位资金500万元(右财农政[2019]5号)，预算资金500万元，到位率100%。二是预算执行率。项目实际支出资金150万元，实际到</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位资金500万元，预算执行率为30%，符合合同规定的预付支出。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4项目绩效评价结果：综合得分94分，整体评价等级为“优”。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（二）右玉县右卫镇7个村光伏扶贫项目绩效评价报告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1、项目背景：2014年10月11日，国家能源局、国务院扶贫开发领导</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小组办公室联合印发《关于实施光伏扶贫工程工作方案》(以下简称《方案》)，决定利用6年时间组织实施光伏扶贫工程《方案》指出，光伏扶贫既是扶贫工作的新途径，也是扩大光伏市场新领域的有效措施，有利于人民群众增收就业，有利于人民群众生活方式变革，具有明显的产业带动和社会效益。要通过支持片区县和国家扶贫开发工作重点县内已建档立卡贫困户安装分布式光伏发电系统，增加贫困人口基本生活收入。要因地制宜，利用贫困地区荒山荒坡、农业大棚或设施农业等建设光伏电站，直接增加贫困人口收入。为深入贯彻落实党中央、国务院和省委、省政府关于脱贫攻坚工作的重大战略部署，以及全市农村工作暨脱贫攻坚工作会议精神，进一步深入落实脱贫攻坚各项政策措施，明确细化各级各部门承担的职责和任务，确保高标准、高质量完成2017年精准脱贫工作且标，特制订《右玉县脱贫攻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行动方案》围绕“户脱贫、村退出、县摘帽”的目标任务，以推进农业供给侧结构性改革为主线，按照省、市脱贫攻坚大会安排部署，着力破解产业扶贫不够精准、易地扶贫搬迁力度不大、生态建设与脱贫攻坚结合不紧、转移就业扶贫不足、特殊群体致贫返贫的问题，实现贫困农民増收、集体经济破零、农业产业发展，让贫困人口有更多的获得感，以“一村一品一主体”为抓手，到村到户落实产业扶贫规划创新组织形式，完善利益联结，协调推进特色农业扶贫电商扶贫、乡村旅游扶贫、光伏扶贫、不断夯实农村产业发展基础，增强产业造血功能利用好光伏扶贫的有关鼓励政策，按照市场化运作、企业化运营的方式探索以财政支持为主、社会参与为辅、贫困户自筹为补充的融资模式，支持贫困村、贫困户大力发展光伏扶贫项目，为了响应国家扶贫政策，加快推进脱贫攻坚步伐，实现农村集体经济破零。2020年右卫镇7个村实施了光伏发电项</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2、项目主要内容：建设规模共280千瓦，其中红旗口村、高墙框村、联兴村、李家堡村、蔡家屯村、头水泉村、联丰村各40千瓦。</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3、项目资金使用情况：一是资金到位率。项目实际到位资金210万元，到位率100%。二是预算执行率。项目实际支出资金209.79万元，实际到位资金500万元，预算执行率为99%，符合合同规定支出。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4项目绩效评价结果：综合得分98分，整体评价等级为“优”。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十四、关于国有资产占有情况</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（一）车辆数合计0辆：副部（省）级及以上领导用车0、主要领导干部用车0、机要通信用车0、应急保障用车0、执法执勤用车0、特种专业技术用车0、离退休干部用车0、 其他用车0。（二）单价50万元以上通用设备0套，（三）单价100万元以上专用设备套。(四）房屋1300平方米，价值295825元。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十五、名词解释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（二）项目支出：指在基本支出之外为完成特定行政任</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三）“三公”经费：指省直部门用一般公共预算安排的因公出国（境）费、公务用车购置及运行费和公务接待费。其中，因公出国（境）费反映单位公务出国（境）的国际旅费、国外城市间交通费、住宿费、伙食费、培训费、公杂费等支出；公务用车购置费反映公务用车车辆购置支出（含车辆购置税）；公务用车运行维护费反映单位按规定保留的公务用车燃料费、维修费、过路过桥费、保险费、安全奖励费用等支出；公务接待费反映单位按规定开支的各类公务接待（含外宾接待）支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27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（四）机关运行经费：指行政单位和参照公务员法管理的事业单位使用一般公共预算安排的基本支出中的日常公用经费支出。</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汉仪篆书繁">
    <w:panose1 w:val="02010609000101010101"/>
    <w:charset w:val="86"/>
    <w:family w:val="auto"/>
    <w:pitch w:val="default"/>
    <w:sig w:usb0="00000001" w:usb1="080E0800" w:usb2="00000002" w:usb3="00000000" w:csb0="00040000" w:csb1="00000000"/>
  </w:font>
  <w:font w:name="华康海报体W12(P)">
    <w:panose1 w:val="040B0C00000000000000"/>
    <w:charset w:val="86"/>
    <w:family w:val="auto"/>
    <w:pitch w:val="default"/>
    <w:sig w:usb0="00000001" w:usb1="08010000" w:usb2="00000012" w:usb3="00000000" w:csb0="00040000" w:csb1="00000000"/>
  </w:font>
  <w:font w:name="华文仿宋">
    <w:panose1 w:val="02010600040101010101"/>
    <w:charset w:val="86"/>
    <w:family w:val="auto"/>
    <w:pitch w:val="default"/>
    <w:sig w:usb0="00000287" w:usb1="080F0000" w:usb2="00000000" w:usb3="00000000" w:csb0="0004009F" w:csb1="DFD70000"/>
  </w:font>
  <w:font w:name="华康俪金黑W8(P)">
    <w:panose1 w:val="020B0800000000000000"/>
    <w:charset w:val="86"/>
    <w:family w:val="auto"/>
    <w:pitch w:val="default"/>
    <w:sig w:usb0="00000001" w:usb1="08010000" w:usb2="00000012" w:usb3="00000000" w:csb0="00040000" w:csb1="0000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941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贾西贝.</cp:lastModifiedBy>
  <dcterms:modified xsi:type="dcterms:W3CDTF">2021-12-23T02:59:48Z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DBD52F2C8D194702AEDBFC3826241DFB</vt:lpwstr>
  </property>
</Properties>
</file>