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 w:hAnsi="仿宋" w:eastAsia="仿宋"/>
          <w:spacing w:val="-20"/>
          <w:sz w:val="32"/>
          <w:szCs w:val="32"/>
        </w:rPr>
      </w:pPr>
    </w:p>
    <w:p>
      <w:pPr>
        <w:spacing w:before="936" w:beforeLines="300"/>
        <w:jc w:val="center"/>
        <w:rPr>
          <w:rFonts w:ascii="方正大标宋简体" w:hAnsi="方正大标宋简体" w:eastAsia="方正大标宋简体" w:cs="方正大标宋简体"/>
          <w:bCs/>
          <w:color w:val="FF0000"/>
          <w:w w:val="66"/>
          <w:sz w:val="120"/>
          <w:szCs w:val="120"/>
        </w:rPr>
      </w:pPr>
      <w:r>
        <w:rPr>
          <w:rFonts w:hint="eastAsia" w:ascii="方正大标宋简体" w:hAnsi="方正大标宋简体" w:eastAsia="方正大标宋简体" w:cs="方正大标宋简体"/>
          <w:bCs/>
          <w:color w:val="FF0000"/>
          <w:w w:val="66"/>
          <w:sz w:val="120"/>
          <w:szCs w:val="120"/>
          <w:lang w:val="en-US" w:eastAsia="zh-CN"/>
        </w:rPr>
        <w:t>元堡子镇人民政府</w:t>
      </w:r>
      <w:r>
        <w:rPr>
          <w:rFonts w:hint="eastAsia" w:ascii="方正大标宋简体" w:hAnsi="方正大标宋简体" w:eastAsia="方正大标宋简体" w:cs="方正大标宋简体"/>
          <w:bCs/>
          <w:color w:val="FF0000"/>
          <w:w w:val="66"/>
          <w:sz w:val="120"/>
          <w:szCs w:val="120"/>
        </w:rPr>
        <w:t>文件</w:t>
      </w:r>
    </w:p>
    <w:p>
      <w:pPr>
        <w:spacing w:line="600" w:lineRule="exact"/>
        <w:jc w:val="center"/>
        <w:rPr>
          <w:rFonts w:ascii="仿宋_GB2312" w:eastAsia="仿宋_GB2312"/>
          <w:sz w:val="32"/>
          <w:szCs w:val="32"/>
        </w:rPr>
      </w:pPr>
      <w:r>
        <w:rPr>
          <w:rFonts w:hint="eastAsia" w:ascii="仿宋_GB2312" w:eastAsia="仿宋_GB2312"/>
          <w:sz w:val="32"/>
          <w:szCs w:val="32"/>
        </w:rPr>
        <w:t xml:space="preserve"> </w:t>
      </w:r>
    </w:p>
    <w:p>
      <w:pPr>
        <w:spacing w:line="600" w:lineRule="exact"/>
        <w:jc w:val="center"/>
        <w:rPr>
          <w:rFonts w:ascii="仿宋_GB2312" w:eastAsia="仿宋_GB2312"/>
          <w:sz w:val="32"/>
          <w:szCs w:val="32"/>
        </w:rPr>
      </w:pPr>
      <w:r>
        <w:rPr>
          <w:rFonts w:hint="eastAsia" w:ascii="仿宋_GB2312" w:eastAsia="仿宋_GB2312"/>
          <w:sz w:val="32"/>
          <w:szCs w:val="32"/>
          <w:lang w:val="en-US" w:eastAsia="zh-CN"/>
        </w:rPr>
        <w:t>元政</w:t>
      </w:r>
      <w:r>
        <w:rPr>
          <w:rFonts w:hint="eastAsia" w:ascii="仿宋_GB2312" w:eastAsia="仿宋_GB2312"/>
          <w:sz w:val="32"/>
          <w:szCs w:val="32"/>
        </w:rPr>
        <w:t>发</w:t>
      </w:r>
      <w:r>
        <w:rPr>
          <w:rFonts w:hint="eastAsia" w:ascii="仿宋_GB2312" w:hAnsi="仿宋_GB2312" w:eastAsia="仿宋_GB2312" w:cs="仿宋_GB2312"/>
          <w:sz w:val="32"/>
          <w:szCs w:val="32"/>
        </w:rPr>
        <w:t>〔</w:t>
      </w:r>
      <w:r>
        <w:rPr>
          <w:rFonts w:hint="eastAsia" w:ascii="仿宋_GB2312" w:eastAsia="仿宋_GB2312"/>
          <w:sz w:val="32"/>
          <w:szCs w:val="32"/>
        </w:rPr>
        <w:t>202</w:t>
      </w:r>
      <w:r>
        <w:rPr>
          <w:rFonts w:hint="eastAsia" w:ascii="仿宋_GB2312" w:eastAsia="仿宋_GB2312"/>
          <w:sz w:val="32"/>
          <w:szCs w:val="32"/>
          <w:lang w:val="en-US" w:eastAsia="zh-CN"/>
        </w:rPr>
        <w:t>1</w:t>
      </w:r>
      <w:r>
        <w:rPr>
          <w:rFonts w:hint="eastAsia" w:ascii="仿宋_GB2312" w:hAnsi="仿宋_GB2312" w:eastAsia="仿宋_GB2312" w:cs="仿宋_GB2312"/>
          <w:sz w:val="32"/>
          <w:szCs w:val="32"/>
        </w:rPr>
        <w:t>〕</w:t>
      </w:r>
      <w:r>
        <w:rPr>
          <w:rFonts w:hint="eastAsia" w:ascii="仿宋_GB2312" w:eastAsia="仿宋_GB2312"/>
          <w:sz w:val="32"/>
          <w:szCs w:val="32"/>
          <w:lang w:val="en-US" w:eastAsia="zh-CN"/>
        </w:rPr>
        <w:t>35</w:t>
      </w:r>
      <w:r>
        <w:rPr>
          <w:rFonts w:hint="eastAsia" w:ascii="仿宋_GB2312" w:eastAsia="仿宋_GB2312"/>
          <w:sz w:val="32"/>
          <w:szCs w:val="32"/>
        </w:rPr>
        <w:t>号</w:t>
      </w:r>
    </w:p>
    <w:p>
      <w:pPr>
        <w:spacing w:line="600" w:lineRule="exact"/>
        <w:jc w:val="center"/>
        <w:rPr>
          <w:rFonts w:hint="eastAsia"/>
          <w:b/>
          <w:sz w:val="24"/>
          <w:szCs w:val="24"/>
        </w:rPr>
      </w:pPr>
      <w:r>
        <w:rPr>
          <w:sz w:val="32"/>
        </w:rPr>
        <mc:AlternateContent>
          <mc:Choice Requires="wps">
            <w:drawing>
              <wp:anchor distT="0" distB="0" distL="114300" distR="114300" simplePos="0" relativeHeight="251659264" behindDoc="0" locked="0" layoutInCell="1" allowOverlap="1">
                <wp:simplePos x="0" y="0"/>
                <wp:positionH relativeFrom="column">
                  <wp:posOffset>-72390</wp:posOffset>
                </wp:positionH>
                <wp:positionV relativeFrom="paragraph">
                  <wp:posOffset>96520</wp:posOffset>
                </wp:positionV>
                <wp:extent cx="5429250" cy="0"/>
                <wp:effectExtent l="0" t="9525" r="0" b="9525"/>
                <wp:wrapNone/>
                <wp:docPr id="3" name="直接连接符 3"/>
                <wp:cNvGraphicFramePr/>
                <a:graphic xmlns:a="http://schemas.openxmlformats.org/drawingml/2006/main">
                  <a:graphicData uri="http://schemas.microsoft.com/office/word/2010/wordprocessingShape">
                    <wps:wsp>
                      <wps:cNvCnPr/>
                      <wps:spPr>
                        <a:xfrm>
                          <a:off x="946785" y="3919855"/>
                          <a:ext cx="5429250" cy="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5.7pt;margin-top:7.6pt;height:0pt;width:427.5pt;z-index:251659264;mso-width-relative:page;mso-height-relative:page;" filled="f" stroked="t" coordsize="21600,21600" o:gfxdata="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pBlc3tUAAAAJAQAADwAAAAAAAAABACAAAAAiAAAAZHJzL2Rvd25yZXYueG1sUEsBAhQA&#10;FAAAAAgAh07iQEw3Gjz1AQAAvQMAAA4AAAAAAAAAAQAgAAAAJAEAAGRycy9lMm9Eb2MueG1sUEsF&#10;BgAAAAAGAAYAWQEAAIsFAAAAAA==&#10;">
                <v:fill on="f" focussize="0,0"/>
                <v:stroke weight="1.5pt" color="#FF0000 [3204]" miterlimit="8" joinstyle="miter"/>
                <v:imagedata o:title=""/>
                <o:lock v:ext="edit" aspectratio="f"/>
              </v:line>
            </w:pict>
          </mc:Fallback>
        </mc:AlternateContent>
      </w:r>
      <w:bookmarkStart w:id="11" w:name="_GoBack"/>
      <w:bookmarkEnd w:id="11"/>
    </w:p>
    <w:p>
      <w:pPr>
        <w:jc w:val="center"/>
        <w:rPr>
          <w:rFonts w:hint="eastAsia"/>
          <w:b/>
          <w:bCs/>
          <w:sz w:val="44"/>
          <w:szCs w:val="44"/>
          <w:lang w:val="en-US" w:eastAsia="zh-CN"/>
        </w:rPr>
      </w:pPr>
      <w:r>
        <w:rPr>
          <w:rFonts w:hint="eastAsia"/>
          <w:b/>
          <w:bCs/>
          <w:sz w:val="44"/>
          <w:szCs w:val="44"/>
          <w:lang w:val="en-US" w:eastAsia="zh-CN"/>
        </w:rPr>
        <w:t>元堡子镇人民政府</w:t>
      </w:r>
    </w:p>
    <w:p>
      <w:pPr>
        <w:jc w:val="center"/>
        <w:rPr>
          <w:rFonts w:hint="eastAsia"/>
          <w:b/>
          <w:bCs/>
          <w:sz w:val="44"/>
          <w:szCs w:val="44"/>
          <w:lang w:val="en-US" w:eastAsia="zh-CN"/>
        </w:rPr>
      </w:pPr>
      <w:r>
        <w:rPr>
          <w:rFonts w:hint="eastAsia"/>
          <w:b/>
          <w:bCs/>
          <w:sz w:val="44"/>
          <w:szCs w:val="44"/>
          <w:lang w:val="en-US" w:eastAsia="zh-CN"/>
        </w:rPr>
        <w:t>关于印发《全镇立即开展易爆物品安全生产</w:t>
      </w:r>
    </w:p>
    <w:p>
      <w:pPr>
        <w:jc w:val="center"/>
        <w:rPr>
          <w:rFonts w:hint="eastAsia" w:ascii="仿宋" w:hAnsi="仿宋" w:eastAsia="仿宋" w:cs="仿宋"/>
          <w:sz w:val="22"/>
          <w:szCs w:val="22"/>
          <w:lang w:val="en-US" w:eastAsia="zh-CN"/>
        </w:rPr>
      </w:pPr>
      <w:r>
        <w:rPr>
          <w:rFonts w:hint="eastAsia"/>
          <w:b/>
          <w:bCs/>
          <w:sz w:val="44"/>
          <w:szCs w:val="44"/>
          <w:lang w:val="en-US" w:eastAsia="zh-CN"/>
        </w:rPr>
        <w:t>专项排查整治行动》的通知</w:t>
      </w:r>
    </w:p>
    <w:p>
      <w:pPr>
        <w:spacing w:line="240" w:lineRule="auto"/>
        <w:rPr>
          <w:rFonts w:hint="eastAsia" w:ascii="仿宋" w:hAnsi="仿宋" w:eastAsia="仿宋" w:cs="仿宋"/>
          <w:sz w:val="13"/>
          <w:szCs w:val="13"/>
          <w:lang w:val="en-US" w:eastAsia="zh-CN"/>
        </w:rPr>
      </w:pPr>
    </w:p>
    <w:p>
      <w:pPr>
        <w:pStyle w:val="7"/>
        <w:bidi w:val="0"/>
        <w:ind w:left="0" w:leftChars="0" w:firstLine="0" w:firstLineChars="0"/>
        <w:rPr>
          <w:rFonts w:hint="eastAsia"/>
          <w:lang w:val="en-US" w:eastAsia="zh-CN"/>
        </w:rPr>
      </w:pPr>
      <w:r>
        <w:rPr>
          <w:rFonts w:hint="eastAsia"/>
          <w:lang w:val="en-US" w:eastAsia="zh-CN"/>
        </w:rPr>
        <w:t>各村、驻镇单位、企业：</w:t>
      </w:r>
    </w:p>
    <w:p>
      <w:pPr>
        <w:pStyle w:val="7"/>
        <w:bidi w:val="0"/>
        <w:rPr>
          <w:rFonts w:hint="eastAsia"/>
          <w:lang w:val="en-US" w:eastAsia="zh-CN"/>
        </w:rPr>
      </w:pPr>
      <w:r>
        <w:rPr>
          <w:rFonts w:hint="eastAsia"/>
          <w:lang w:val="en-US" w:eastAsia="zh-CN"/>
        </w:rPr>
        <w:t>现将《全镇立即开展易爆物品安全生产专项排查整治行动》印发给你们，请结合实际认真贯彻落实。</w:t>
      </w:r>
    </w:p>
    <w:p>
      <w:pPr>
        <w:pStyle w:val="7"/>
        <w:bidi w:val="0"/>
        <w:ind w:left="0" w:leftChars="0" w:firstLine="0" w:firstLineChars="0"/>
        <w:rPr>
          <w:rFonts w:hint="eastAsia"/>
          <w:lang w:val="en-US" w:eastAsia="zh-CN"/>
        </w:rPr>
      </w:pPr>
    </w:p>
    <w:p>
      <w:pPr>
        <w:pStyle w:val="7"/>
        <w:bidi w:val="0"/>
        <w:ind w:left="0" w:leftChars="0" w:firstLine="0" w:firstLineChars="0"/>
        <w:rPr>
          <w:rFonts w:hint="eastAsia"/>
          <w:lang w:val="en-US" w:eastAsia="zh-CN"/>
        </w:rPr>
      </w:pPr>
    </w:p>
    <w:p>
      <w:pPr>
        <w:pStyle w:val="7"/>
        <w:bidi w:val="0"/>
        <w:ind w:left="0" w:leftChars="0" w:firstLine="0" w:firstLineChars="0"/>
        <w:jc w:val="right"/>
        <w:rPr>
          <w:rFonts w:hint="eastAsia"/>
          <w:lang w:val="en-US" w:eastAsia="zh-CN"/>
        </w:rPr>
      </w:pPr>
      <w:r>
        <w:rPr>
          <w:rFonts w:hint="eastAsia"/>
          <w:lang w:val="en-US" w:eastAsia="zh-CN"/>
        </w:rPr>
        <w:t>元堡子镇人民政府</w:t>
      </w:r>
    </w:p>
    <w:p>
      <w:pPr>
        <w:pStyle w:val="7"/>
        <w:bidi w:val="0"/>
        <w:ind w:left="0" w:leftChars="0" w:firstLine="0" w:firstLineChars="0"/>
        <w:jc w:val="right"/>
        <w:rPr>
          <w:rFonts w:hint="eastAsia"/>
          <w:lang w:val="en-US" w:eastAsia="zh-CN"/>
        </w:rPr>
      </w:pPr>
      <w:r>
        <w:rPr>
          <w:rFonts w:hint="eastAsia"/>
          <w:lang w:val="en-US" w:eastAsia="zh-CN"/>
        </w:rPr>
        <w:t>2021年5月8日</w:t>
      </w:r>
    </w:p>
    <w:p>
      <w:pPr>
        <w:rPr>
          <w:rFonts w:hint="eastAsia"/>
          <w:lang w:val="en-US" w:eastAsia="zh-CN"/>
        </w:rPr>
      </w:pPr>
      <w:r>
        <w:rPr>
          <w:rFonts w:hint="eastAsia"/>
          <w:lang w:val="en-US" w:eastAsia="zh-CN"/>
        </w:rPr>
        <w:br w:type="page"/>
      </w:r>
    </w:p>
    <w:p>
      <w:pPr>
        <w:jc w:val="center"/>
        <w:rPr>
          <w:rFonts w:hint="eastAsia" w:ascii="黑体" w:hAnsi="黑体" w:eastAsia="黑体" w:cs="黑体"/>
          <w:b/>
          <w:bCs/>
          <w:sz w:val="44"/>
          <w:szCs w:val="44"/>
          <w:lang w:val="en-US" w:eastAsia="zh-CN"/>
        </w:rPr>
      </w:pPr>
      <w:r>
        <w:rPr>
          <w:rFonts w:hint="eastAsia" w:ascii="黑体" w:hAnsi="黑体" w:eastAsia="黑体" w:cs="黑体"/>
          <w:b/>
          <w:bCs/>
          <w:sz w:val="44"/>
          <w:szCs w:val="44"/>
          <w:lang w:val="en-US" w:eastAsia="zh-CN"/>
        </w:rPr>
        <w:t>全镇立即开展易爆物品安全生产</w:t>
      </w:r>
    </w:p>
    <w:p>
      <w:pPr>
        <w:jc w:val="center"/>
        <w:rPr>
          <w:rFonts w:hint="eastAsia" w:ascii="黑体" w:hAnsi="黑体" w:eastAsia="黑体" w:cs="黑体"/>
          <w:b/>
          <w:bCs/>
          <w:sz w:val="44"/>
          <w:szCs w:val="44"/>
          <w:lang w:val="en-US" w:eastAsia="zh-CN"/>
        </w:rPr>
      </w:pPr>
      <w:r>
        <w:rPr>
          <w:rFonts w:hint="eastAsia" w:ascii="黑体" w:hAnsi="黑体" w:eastAsia="黑体" w:cs="黑体"/>
          <w:b/>
          <w:bCs/>
          <w:sz w:val="44"/>
          <w:szCs w:val="44"/>
          <w:lang w:val="en-US" w:eastAsia="zh-CN"/>
        </w:rPr>
        <w:t>专项排查整治行动</w:t>
      </w:r>
    </w:p>
    <w:p>
      <w:pPr>
        <w:jc w:val="center"/>
        <w:rPr>
          <w:rFonts w:hint="eastAsia" w:ascii="Times New Roman" w:hAnsi="Times New Roman" w:cs="Times New Roman"/>
          <w:b/>
          <w:bCs/>
          <w:sz w:val="44"/>
          <w:szCs w:val="44"/>
          <w:lang w:val="en-US" w:eastAsia="zh-CN"/>
        </w:rPr>
      </w:pPr>
    </w:p>
    <w:p>
      <w:pPr>
        <w:widowControl w:val="0"/>
        <w:bidi w:val="0"/>
        <w:spacing w:line="600" w:lineRule="exact"/>
        <w:ind w:firstLine="640" w:firstLineChars="200"/>
        <w:jc w:val="both"/>
        <w:rPr>
          <w:rFonts w:hint="eastAsia" w:ascii="Times New Roman" w:hAnsi="Times New Roman" w:eastAsia="仿宋" w:cs="Times New Roman"/>
          <w:bCs/>
          <w:kern w:val="2"/>
          <w:sz w:val="32"/>
          <w:szCs w:val="44"/>
          <w:lang w:val="en-US" w:eastAsia="zh-CN" w:bidi="ar-SA"/>
        </w:rPr>
      </w:pPr>
      <w:r>
        <w:rPr>
          <w:rFonts w:hint="eastAsia" w:ascii="Times New Roman" w:hAnsi="Times New Roman" w:eastAsia="仿宋" w:cs="Times New Roman"/>
          <w:bCs/>
          <w:kern w:val="2"/>
          <w:sz w:val="32"/>
          <w:szCs w:val="44"/>
          <w:lang w:val="en-US" w:eastAsia="zh-CN" w:bidi="ar-SA"/>
        </w:rPr>
        <w:t>为深刻汲取太原市小店区“5・1”婚庆产品存放仓库爆炸事故教训，认真落实楼阳生书记“排查并取缔易爆物品生产经营企业或作坊”重要批示精神，根据市政府安委办《关于在全市立即开展易爆物品安全生产专项排查整治行动的通知》（朔安办发电C2021J11号）部署要求及县政府安委办《关于在全镇立即开展易爆物品安全生产专项排查整治行动的通知》，决定在全镇范围内立即开展易爆物品安全生产专项排查整治行动。现就有关事项通知如下。</w:t>
      </w:r>
    </w:p>
    <w:p>
      <w:pPr>
        <w:pStyle w:val="2"/>
        <w:bidi w:val="0"/>
        <w:rPr>
          <w:rFonts w:hint="eastAsia"/>
          <w:lang w:val="en-US" w:eastAsia="zh-CN"/>
        </w:rPr>
      </w:pPr>
      <w:r>
        <w:rPr>
          <w:rFonts w:hint="eastAsia"/>
          <w:lang w:val="en-US" w:eastAsia="zh-CN"/>
        </w:rPr>
        <w:t>—、总体要求</w:t>
      </w:r>
    </w:p>
    <w:p>
      <w:pPr>
        <w:widowControl w:val="0"/>
        <w:bidi w:val="0"/>
        <w:spacing w:line="600" w:lineRule="exact"/>
        <w:ind w:firstLine="640" w:firstLineChars="200"/>
        <w:jc w:val="both"/>
        <w:rPr>
          <w:rFonts w:hint="eastAsia" w:ascii="Times New Roman" w:hAnsi="Times New Roman" w:eastAsia="仿宋" w:cs="Times New Roman"/>
          <w:bCs/>
          <w:kern w:val="2"/>
          <w:sz w:val="32"/>
          <w:szCs w:val="44"/>
          <w:lang w:val="en-US" w:eastAsia="zh-CN" w:bidi="ar-SA"/>
        </w:rPr>
      </w:pPr>
      <w:r>
        <w:rPr>
          <w:rFonts w:hint="eastAsia" w:ascii="Times New Roman" w:hAnsi="Times New Roman" w:eastAsia="仿宋" w:cs="Times New Roman"/>
          <w:bCs/>
          <w:kern w:val="2"/>
          <w:sz w:val="32"/>
          <w:szCs w:val="44"/>
          <w:lang w:val="en-US" w:eastAsia="zh-CN" w:bidi="ar-SA"/>
        </w:rPr>
        <w:t>以习近平新时代中国特色社会主义思想为指导，全面贯彻习近平总书记关于安全生产的重要论述和指示批示精神，认真落实党中央、国务院、省委、省政府和市委、市政府及县委县政府关于安全生产的一系列决策部署，按照“四铁”要求和专项整治三年行动集中攻坚、“零事故”单位创建总体部署，全面开展易爆物品生产、经营、贮存、运输、使用各环节专项排查整治，进一步加强易爆物品安全管理，落实易爆物品安全生产责任，以更加坚决的态度、更加务实的作风、更加有力的措施，坚持“两个至上”、做到“两个维护”、统筹“两件大事”、强化“两个根本”，树牢“两个意识”，切实防范化解各类安全风险，深入排查整治各类安全隐患，有效防范和坚决遏制各类生产安全事故发生，为建党100周年创造和谐稳定的安全生产环境。</w:t>
      </w:r>
    </w:p>
    <w:p>
      <w:pPr>
        <w:pStyle w:val="2"/>
        <w:bidi w:val="0"/>
        <w:rPr>
          <w:rFonts w:hint="eastAsia"/>
          <w:lang w:val="en-US" w:eastAsia="zh-CN"/>
        </w:rPr>
      </w:pPr>
      <w:bookmarkStart w:id="0" w:name="bookmark3"/>
      <w:r>
        <w:rPr>
          <w:rFonts w:hint="eastAsia"/>
          <w:lang w:val="en-US" w:eastAsia="zh-CN"/>
        </w:rPr>
        <w:t>二</w:t>
      </w:r>
      <w:bookmarkEnd w:id="0"/>
      <w:r>
        <w:rPr>
          <w:rFonts w:hint="eastAsia"/>
          <w:lang w:val="en-US" w:eastAsia="zh-CN"/>
        </w:rPr>
        <w:t>、开展时间</w:t>
      </w:r>
    </w:p>
    <w:p>
      <w:pPr>
        <w:widowControl w:val="0"/>
        <w:bidi w:val="0"/>
        <w:spacing w:line="600" w:lineRule="exact"/>
        <w:ind w:firstLine="640" w:firstLineChars="200"/>
        <w:jc w:val="both"/>
        <w:rPr>
          <w:rFonts w:hint="eastAsia" w:ascii="Times New Roman" w:hAnsi="Times New Roman" w:eastAsia="仿宋" w:cs="Times New Roman"/>
          <w:bCs/>
          <w:kern w:val="2"/>
          <w:sz w:val="32"/>
          <w:szCs w:val="44"/>
          <w:lang w:val="en-US" w:eastAsia="zh-CN" w:bidi="ar-SA"/>
        </w:rPr>
      </w:pPr>
      <w:r>
        <w:rPr>
          <w:rFonts w:hint="eastAsia" w:ascii="Times New Roman" w:hAnsi="Times New Roman" w:eastAsia="仿宋" w:cs="Times New Roman"/>
          <w:bCs/>
          <w:kern w:val="2"/>
          <w:sz w:val="32"/>
          <w:szCs w:val="44"/>
          <w:lang w:val="en-US" w:eastAsia="zh-CN" w:bidi="ar-SA"/>
        </w:rPr>
        <w:t>从即日起至5月30日。</w:t>
      </w:r>
    </w:p>
    <w:p>
      <w:pPr>
        <w:pStyle w:val="2"/>
        <w:bidi w:val="0"/>
        <w:rPr>
          <w:rFonts w:hint="eastAsia"/>
          <w:lang w:val="en-US" w:eastAsia="zh-CN"/>
        </w:rPr>
      </w:pPr>
      <w:bookmarkStart w:id="1" w:name="bookmark4"/>
      <w:r>
        <w:rPr>
          <w:rFonts w:hint="eastAsia"/>
          <w:lang w:val="en-US" w:eastAsia="zh-CN"/>
        </w:rPr>
        <w:t>三</w:t>
      </w:r>
      <w:bookmarkEnd w:id="1"/>
      <w:r>
        <w:rPr>
          <w:rFonts w:hint="eastAsia"/>
          <w:lang w:val="en-US" w:eastAsia="zh-CN"/>
        </w:rPr>
        <w:t>、方法步骤</w:t>
      </w:r>
    </w:p>
    <w:p>
      <w:pPr>
        <w:widowControl w:val="0"/>
        <w:bidi w:val="0"/>
        <w:spacing w:line="600" w:lineRule="exact"/>
        <w:ind w:firstLine="640" w:firstLineChars="200"/>
        <w:jc w:val="both"/>
        <w:rPr>
          <w:rFonts w:hint="eastAsia" w:ascii="Times New Roman" w:hAnsi="Times New Roman" w:eastAsia="仿宋" w:cs="Times New Roman"/>
          <w:bCs/>
          <w:kern w:val="2"/>
          <w:sz w:val="32"/>
          <w:szCs w:val="44"/>
          <w:lang w:val="en-US" w:eastAsia="zh-CN" w:bidi="ar-SA"/>
        </w:rPr>
      </w:pPr>
      <w:r>
        <w:rPr>
          <w:rFonts w:hint="eastAsia" w:ascii="楷体" w:hAnsi="楷体" w:eastAsia="楷体" w:cs="楷体"/>
          <w:bCs/>
          <w:kern w:val="2"/>
          <w:sz w:val="32"/>
          <w:szCs w:val="44"/>
          <w:lang w:val="en-US" w:eastAsia="zh-CN" w:bidi="ar-SA"/>
        </w:rPr>
        <w:t>（―）企业自查自改。</w:t>
      </w:r>
      <w:r>
        <w:rPr>
          <w:rFonts w:hint="eastAsia" w:ascii="Times New Roman" w:hAnsi="Times New Roman" w:eastAsia="仿宋" w:cs="Times New Roman"/>
          <w:bCs/>
          <w:kern w:val="2"/>
          <w:sz w:val="32"/>
          <w:szCs w:val="44"/>
          <w:lang w:val="en-US" w:eastAsia="zh-CN" w:bidi="ar-SA"/>
        </w:rPr>
        <w:t>各危险化学品（氧气、氢气）、烟花爆竹、民用爆炸物品、瓶装液化气经营（贮存、运输、使用）单位和婚庆经营公司（以下简称排查整治对象）要对本单位安全生产情况进行全面排查整治，并建立风险分级管控和隐患排查治理台帐，落实风险防控和隐患整治责任。对自查中发现的重大安全隐患在“双报告”（向负有安全生产监督管理职责的部门和企业职代会）的基础上，向县政府安委办备案，并按“五到位”要求认真整改。</w:t>
      </w:r>
    </w:p>
    <w:p>
      <w:pPr>
        <w:widowControl w:val="0"/>
        <w:bidi w:val="0"/>
        <w:spacing w:line="600" w:lineRule="exact"/>
        <w:ind w:firstLine="640" w:firstLineChars="200"/>
        <w:jc w:val="both"/>
        <w:rPr>
          <w:rFonts w:hint="eastAsia" w:ascii="Times New Roman" w:hAnsi="Times New Roman" w:eastAsia="仿宋" w:cs="Times New Roman"/>
          <w:bCs/>
          <w:kern w:val="2"/>
          <w:sz w:val="32"/>
          <w:szCs w:val="44"/>
          <w:lang w:val="en-US" w:eastAsia="zh-CN" w:bidi="ar-SA"/>
        </w:rPr>
      </w:pPr>
      <w:bookmarkStart w:id="2" w:name="bookmark5"/>
      <w:r>
        <w:rPr>
          <w:rFonts w:hint="eastAsia" w:ascii="楷体" w:hAnsi="楷体" w:eastAsia="楷体" w:cs="楷体"/>
          <w:bCs/>
          <w:kern w:val="2"/>
          <w:sz w:val="32"/>
          <w:szCs w:val="44"/>
          <w:lang w:val="en-US" w:eastAsia="zh-CN" w:bidi="ar-SA"/>
        </w:rPr>
        <w:t>（</w:t>
      </w:r>
      <w:bookmarkEnd w:id="2"/>
      <w:r>
        <w:rPr>
          <w:rFonts w:hint="eastAsia" w:ascii="楷体" w:hAnsi="楷体" w:eastAsia="楷体" w:cs="楷体"/>
          <w:bCs/>
          <w:kern w:val="2"/>
          <w:sz w:val="32"/>
          <w:szCs w:val="44"/>
          <w:lang w:val="en-US" w:eastAsia="zh-CN" w:bidi="ar-SA"/>
        </w:rPr>
        <w:t>二）各村委全面检查。</w:t>
      </w:r>
      <w:r>
        <w:rPr>
          <w:rFonts w:hint="eastAsia" w:ascii="Times New Roman" w:hAnsi="Times New Roman" w:eastAsia="仿宋" w:cs="Times New Roman"/>
          <w:bCs/>
          <w:kern w:val="2"/>
          <w:sz w:val="32"/>
          <w:szCs w:val="44"/>
          <w:lang w:val="en-US" w:eastAsia="zh-CN" w:bidi="ar-SA"/>
        </w:rPr>
        <w:t>各村委会负责组织人员对本辖区范围内所有排查整治对象进行全面检査，对检查中发现的安全隐患要分类建立专项排查整治台帐，并督促排查整治对象按有关规定进行整改。对企业自查和检查发现的重大安全隐患一律挂牌督办，对拒不整改或未在规定期限内完成整改的，一律比照事故进行调查处理。</w:t>
      </w:r>
    </w:p>
    <w:p>
      <w:pPr>
        <w:widowControl w:val="0"/>
        <w:bidi w:val="0"/>
        <w:spacing w:line="600" w:lineRule="exact"/>
        <w:ind w:firstLine="640" w:firstLineChars="200"/>
        <w:jc w:val="both"/>
        <w:rPr>
          <w:rFonts w:hint="eastAsia" w:ascii="Times New Roman" w:hAnsi="Times New Roman" w:eastAsia="仿宋" w:cs="Times New Roman"/>
          <w:bCs/>
          <w:kern w:val="2"/>
          <w:sz w:val="32"/>
          <w:szCs w:val="44"/>
          <w:lang w:val="en-US" w:eastAsia="zh-CN" w:bidi="ar-SA"/>
        </w:rPr>
      </w:pPr>
      <w:bookmarkStart w:id="3" w:name="bookmark6"/>
      <w:r>
        <w:rPr>
          <w:rFonts w:hint="eastAsia" w:ascii="楷体" w:hAnsi="楷体" w:eastAsia="楷体" w:cs="楷体"/>
          <w:bCs/>
          <w:kern w:val="2"/>
          <w:sz w:val="32"/>
          <w:szCs w:val="44"/>
          <w:lang w:val="en-US" w:eastAsia="zh-CN" w:bidi="ar-SA"/>
        </w:rPr>
        <w:t>（</w:t>
      </w:r>
      <w:bookmarkEnd w:id="3"/>
      <w:r>
        <w:rPr>
          <w:rFonts w:hint="eastAsia" w:ascii="楷体" w:hAnsi="楷体" w:eastAsia="楷体" w:cs="楷体"/>
          <w:bCs/>
          <w:kern w:val="2"/>
          <w:sz w:val="32"/>
          <w:szCs w:val="44"/>
          <w:lang w:val="en-US" w:eastAsia="zh-CN" w:bidi="ar-SA"/>
        </w:rPr>
        <w:t>三）镇政府督导抽查。</w:t>
      </w:r>
      <w:r>
        <w:rPr>
          <w:rFonts w:hint="eastAsia" w:ascii="Times New Roman" w:hAnsi="Times New Roman" w:eastAsia="仿宋" w:cs="Times New Roman"/>
          <w:bCs/>
          <w:kern w:val="2"/>
          <w:sz w:val="32"/>
          <w:szCs w:val="44"/>
          <w:lang w:val="en-US" w:eastAsia="zh-CN" w:bidi="ar-SA"/>
        </w:rPr>
        <w:t>镇政府将适时开展专项督导抽查（督导抽查方案另行制定），对组织不得力、责任不落实、排查不认真、整改不及时的提请政府严肃问责。</w:t>
      </w:r>
    </w:p>
    <w:p>
      <w:pPr>
        <w:pStyle w:val="2"/>
        <w:bidi w:val="0"/>
        <w:rPr>
          <w:rFonts w:hint="eastAsia"/>
          <w:lang w:val="en-US" w:eastAsia="zh-CN"/>
        </w:rPr>
      </w:pPr>
      <w:r>
        <w:rPr>
          <w:rFonts w:hint="eastAsia"/>
          <w:lang w:val="en-US" w:eastAsia="zh-CN"/>
        </w:rPr>
        <w:t>四、整治措施</w:t>
      </w:r>
    </w:p>
    <w:p>
      <w:pPr>
        <w:widowControl w:val="0"/>
        <w:bidi w:val="0"/>
        <w:spacing w:line="600" w:lineRule="exact"/>
        <w:ind w:firstLine="640" w:firstLineChars="200"/>
        <w:jc w:val="both"/>
        <w:rPr>
          <w:rFonts w:hint="eastAsia" w:ascii="Times New Roman" w:hAnsi="Times New Roman" w:eastAsia="仿宋" w:cs="Times New Roman"/>
          <w:bCs/>
          <w:kern w:val="2"/>
          <w:sz w:val="32"/>
          <w:szCs w:val="44"/>
          <w:lang w:val="en-US" w:eastAsia="zh-CN" w:bidi="ar-SA"/>
        </w:rPr>
      </w:pPr>
      <w:bookmarkStart w:id="4" w:name="bookmark13"/>
      <w:r>
        <w:rPr>
          <w:rFonts w:hint="eastAsia" w:ascii="楷体" w:hAnsi="楷体" w:eastAsia="楷体" w:cs="楷体"/>
          <w:b w:val="0"/>
          <w:bCs/>
          <w:kern w:val="2"/>
          <w:sz w:val="32"/>
          <w:szCs w:val="44"/>
          <w:lang w:val="en-US" w:eastAsia="zh-CN" w:bidi="ar-SA"/>
        </w:rPr>
        <w:t>（</w:t>
      </w:r>
      <w:bookmarkEnd w:id="4"/>
      <w:r>
        <w:rPr>
          <w:rFonts w:hint="eastAsia" w:ascii="楷体" w:hAnsi="楷体" w:eastAsia="楷体" w:cs="楷体"/>
          <w:b w:val="0"/>
          <w:bCs/>
          <w:kern w:val="2"/>
          <w:sz w:val="32"/>
          <w:szCs w:val="44"/>
          <w:lang w:val="en-US" w:eastAsia="zh-CN" w:bidi="ar-SA"/>
        </w:rPr>
        <w:t>一）危险化学品方面。</w:t>
      </w:r>
      <w:r>
        <w:rPr>
          <w:rFonts w:hint="eastAsia" w:ascii="Times New Roman" w:hAnsi="Times New Roman" w:eastAsia="仿宋" w:cs="Times New Roman"/>
          <w:bCs/>
          <w:kern w:val="2"/>
          <w:sz w:val="32"/>
          <w:szCs w:val="44"/>
          <w:lang w:val="en-US" w:eastAsia="zh-CN" w:bidi="ar-SA"/>
        </w:rPr>
        <w:t>对未依法取得危险化学品生产经营许可证擅自生产经营的，一律依法关闭取缔；对生产经营许可证件过期仍从事生产经营活动且存在重大安全隐患无法整改的，一律依法关闭取缔；对证照齐全但存在重大安全隐患的，一律依法责令停产停业整顿，整改不合格不得恢复生产经营活动；对存在一般隐患的，一律依法责令限期整改；对存在不落实查验、登记购买单位相关资质并向下游客户提供化学品安全技术说明书和化学品安全标签（“一书一签”）的，以及危险化学品经营企业向未经许可从事危险化学品生产、经营活动的企业采购危险化学品的，一律依法上限处罚；对未办理使用登记、超期未检、非自有产权气瓶的，一律依法上限处罚；对已注销烟花爆竹经营（批发、零售）许可证的企业存在非法储存、销售烟花爆竹等违法行为的，一律移交公安机关依法处理。</w:t>
      </w:r>
    </w:p>
    <w:p>
      <w:pPr>
        <w:widowControl w:val="0"/>
        <w:bidi w:val="0"/>
        <w:spacing w:line="600" w:lineRule="exact"/>
        <w:ind w:firstLine="640" w:firstLineChars="200"/>
        <w:jc w:val="both"/>
        <w:rPr>
          <w:rFonts w:hint="eastAsia" w:ascii="Times New Roman" w:hAnsi="Times New Roman" w:eastAsia="仿宋" w:cs="Times New Roman"/>
          <w:bCs/>
          <w:kern w:val="2"/>
          <w:sz w:val="32"/>
          <w:szCs w:val="44"/>
          <w:lang w:val="en-US" w:eastAsia="zh-CN" w:bidi="ar-SA"/>
        </w:rPr>
      </w:pPr>
      <w:r>
        <w:rPr>
          <w:rFonts w:hint="eastAsia" w:ascii="楷体" w:hAnsi="楷体" w:eastAsia="楷体" w:cs="楷体"/>
          <w:b w:val="0"/>
          <w:bCs/>
          <w:kern w:val="2"/>
          <w:sz w:val="32"/>
          <w:szCs w:val="44"/>
          <w:lang w:val="en-US" w:eastAsia="zh-CN" w:bidi="ar-SA"/>
        </w:rPr>
        <w:t>（二）民用爆炸物品方面。</w:t>
      </w:r>
      <w:r>
        <w:rPr>
          <w:rFonts w:hint="eastAsia" w:ascii="Times New Roman" w:hAnsi="Times New Roman" w:eastAsia="仿宋" w:cs="Times New Roman"/>
          <w:bCs/>
          <w:kern w:val="2"/>
          <w:sz w:val="32"/>
          <w:szCs w:val="44"/>
          <w:lang w:val="en-US" w:eastAsia="zh-CN" w:bidi="ar-SA"/>
        </w:rPr>
        <w:t>对未依法取得民用爆炸物品生产经营许可证擅自生产经营的，一律依法关闭取缔；对存在违法违规作业、非法储存民用爆炸物品的，一律依法吊销相关证照，并</w:t>
      </w:r>
      <w:bookmarkStart w:id="5" w:name="bookmark14"/>
      <w:bookmarkEnd w:id="5"/>
      <w:r>
        <w:rPr>
          <w:rFonts w:hint="eastAsia" w:ascii="Times New Roman" w:hAnsi="Times New Roman" w:eastAsia="仿宋" w:cs="Times New Roman"/>
          <w:bCs/>
          <w:kern w:val="2"/>
          <w:sz w:val="32"/>
          <w:szCs w:val="44"/>
          <w:lang w:val="en-US" w:eastAsia="zh-CN" w:bidi="ar-SA"/>
        </w:rPr>
        <w:t>妥善处置遗留民用爆炸物品；对存在涉危涉爆违法犯罪行为及有关部门移交的线索的，一律依法严查严处；对查处的涉爆案件，一律倒查涉案原材料来源、流向，摧毁犯罪网络、捣毁制贩窝点，确保打击彻底、处理到位。</w:t>
      </w:r>
    </w:p>
    <w:p>
      <w:pPr>
        <w:widowControl w:val="0"/>
        <w:bidi w:val="0"/>
        <w:spacing w:line="600" w:lineRule="exact"/>
        <w:ind w:firstLine="640" w:firstLineChars="200"/>
        <w:jc w:val="both"/>
        <w:rPr>
          <w:rFonts w:hint="eastAsia" w:ascii="Times New Roman" w:hAnsi="Times New Roman" w:eastAsia="仿宋" w:cs="Times New Roman"/>
          <w:bCs/>
          <w:kern w:val="2"/>
          <w:sz w:val="32"/>
          <w:szCs w:val="44"/>
          <w:lang w:val="en-US" w:eastAsia="zh-CN" w:bidi="ar-SA"/>
        </w:rPr>
      </w:pPr>
      <w:bookmarkStart w:id="6" w:name="bookmark15"/>
      <w:r>
        <w:rPr>
          <w:rFonts w:hint="eastAsia" w:ascii="楷体" w:hAnsi="楷体" w:eastAsia="楷体" w:cs="楷体"/>
          <w:b w:val="0"/>
          <w:bCs/>
          <w:kern w:val="2"/>
          <w:sz w:val="32"/>
          <w:szCs w:val="44"/>
          <w:lang w:val="en-US" w:eastAsia="zh-CN" w:bidi="ar-SA"/>
        </w:rPr>
        <w:t>（</w:t>
      </w:r>
      <w:bookmarkEnd w:id="6"/>
      <w:r>
        <w:rPr>
          <w:rFonts w:hint="eastAsia" w:ascii="楷体" w:hAnsi="楷体" w:eastAsia="楷体" w:cs="楷体"/>
          <w:b w:val="0"/>
          <w:bCs/>
          <w:kern w:val="2"/>
          <w:sz w:val="32"/>
          <w:szCs w:val="44"/>
          <w:lang w:val="en-US" w:eastAsia="zh-CN" w:bidi="ar-SA"/>
        </w:rPr>
        <w:t>三）瓶装液化气方面。</w:t>
      </w:r>
      <w:r>
        <w:rPr>
          <w:rFonts w:hint="eastAsia" w:ascii="Times New Roman" w:hAnsi="Times New Roman" w:eastAsia="仿宋" w:cs="Times New Roman"/>
          <w:bCs/>
          <w:kern w:val="2"/>
          <w:sz w:val="32"/>
          <w:szCs w:val="44"/>
          <w:lang w:val="en-US" w:eastAsia="zh-CN" w:bidi="ar-SA"/>
        </w:rPr>
        <w:t>对未依法取得《燃气经菅许可证》非法经营瓶装液化气的，一律依法关闭取缔；对已取得《燃气经菅许可证》，但无燃气经营许可证的单位或个人向其提供经营性气源的，一律依法责令整改、罚款、没收非法所得或吊销燃气经营许可证；对未办理使用登记、超期未检、非自有产权气瓶的，一律依法上限处罚。</w:t>
      </w:r>
    </w:p>
    <w:p>
      <w:pPr>
        <w:widowControl w:val="0"/>
        <w:bidi w:val="0"/>
        <w:spacing w:line="600" w:lineRule="exact"/>
        <w:ind w:firstLine="640" w:firstLineChars="200"/>
        <w:jc w:val="both"/>
        <w:rPr>
          <w:rFonts w:hint="eastAsia" w:ascii="Times New Roman" w:hAnsi="Times New Roman" w:eastAsia="仿宋" w:cs="Times New Roman"/>
          <w:bCs/>
          <w:kern w:val="2"/>
          <w:sz w:val="32"/>
          <w:szCs w:val="44"/>
          <w:lang w:val="en-US" w:eastAsia="zh-CN" w:bidi="ar-SA"/>
        </w:rPr>
      </w:pPr>
      <w:bookmarkStart w:id="7" w:name="bookmark16"/>
      <w:r>
        <w:rPr>
          <w:rFonts w:hint="eastAsia" w:ascii="楷体" w:hAnsi="楷体" w:eastAsia="楷体" w:cs="楷体"/>
          <w:b w:val="0"/>
          <w:bCs/>
          <w:kern w:val="2"/>
          <w:sz w:val="32"/>
          <w:szCs w:val="44"/>
          <w:lang w:val="en-US" w:eastAsia="zh-CN" w:bidi="ar-SA"/>
        </w:rPr>
        <w:t>（</w:t>
      </w:r>
      <w:bookmarkEnd w:id="7"/>
      <w:r>
        <w:rPr>
          <w:rFonts w:hint="eastAsia" w:ascii="楷体" w:hAnsi="楷体" w:eastAsia="楷体" w:cs="楷体"/>
          <w:b w:val="0"/>
          <w:bCs/>
          <w:kern w:val="2"/>
          <w:sz w:val="32"/>
          <w:szCs w:val="44"/>
          <w:lang w:val="en-US" w:eastAsia="zh-CN" w:bidi="ar-SA"/>
        </w:rPr>
        <w:t>四）婚庆产品加工作坊等方面。</w:t>
      </w:r>
      <w:r>
        <w:rPr>
          <w:rFonts w:hint="eastAsia" w:ascii="Times New Roman" w:hAnsi="Times New Roman" w:eastAsia="仿宋" w:cs="Times New Roman"/>
          <w:bCs/>
          <w:kern w:val="2"/>
          <w:sz w:val="32"/>
          <w:szCs w:val="44"/>
          <w:lang w:val="en-US" w:eastAsia="zh-CN" w:bidi="ar-SA"/>
        </w:rPr>
        <w:t>对未取得营业执照擅自从事婚庆产品加工的，一律依法关闭取缔，并按《无证无照经营查处办法》有关规定严肃查处；对非法、违法使用或储存氧气、氢气、瓶装液化气等易爆物品进行产品加工的，一律依法关闭取缔。</w:t>
      </w:r>
    </w:p>
    <w:p>
      <w:pPr>
        <w:pStyle w:val="2"/>
        <w:bidi w:val="0"/>
        <w:rPr>
          <w:rFonts w:hint="eastAsia"/>
          <w:lang w:val="en-US" w:eastAsia="zh-CN"/>
        </w:rPr>
      </w:pPr>
      <w:bookmarkStart w:id="8" w:name="bookmark17"/>
      <w:r>
        <w:rPr>
          <w:rFonts w:hint="eastAsia"/>
          <w:lang w:val="en-US" w:eastAsia="zh-CN"/>
        </w:rPr>
        <w:t>六</w:t>
      </w:r>
      <w:bookmarkEnd w:id="8"/>
      <w:r>
        <w:rPr>
          <w:rFonts w:hint="eastAsia"/>
          <w:lang w:val="en-US" w:eastAsia="zh-CN"/>
        </w:rPr>
        <w:t>、工作要求</w:t>
      </w:r>
    </w:p>
    <w:p>
      <w:pPr>
        <w:widowControl w:val="0"/>
        <w:bidi w:val="0"/>
        <w:spacing w:line="600" w:lineRule="exact"/>
        <w:ind w:firstLine="640" w:firstLineChars="200"/>
        <w:jc w:val="both"/>
        <w:rPr>
          <w:rFonts w:hint="eastAsia" w:ascii="Times New Roman" w:hAnsi="Times New Roman" w:eastAsia="仿宋" w:cs="Times New Roman"/>
          <w:bCs/>
          <w:kern w:val="2"/>
          <w:sz w:val="32"/>
          <w:szCs w:val="44"/>
          <w:lang w:val="en-US" w:eastAsia="zh-CN" w:bidi="ar-SA"/>
        </w:rPr>
      </w:pPr>
      <w:bookmarkStart w:id="9" w:name="bookmark18"/>
      <w:r>
        <w:rPr>
          <w:rFonts w:hint="eastAsia" w:ascii="楷体" w:hAnsi="楷体" w:eastAsia="楷体" w:cs="楷体"/>
          <w:b w:val="0"/>
          <w:bCs/>
          <w:kern w:val="2"/>
          <w:sz w:val="32"/>
          <w:szCs w:val="44"/>
          <w:lang w:val="en-US" w:eastAsia="zh-CN" w:bidi="ar-SA"/>
        </w:rPr>
        <w:t>（</w:t>
      </w:r>
      <w:bookmarkEnd w:id="9"/>
      <w:r>
        <w:rPr>
          <w:rFonts w:hint="eastAsia" w:ascii="楷体" w:hAnsi="楷体" w:eastAsia="楷体" w:cs="楷体"/>
          <w:b w:val="0"/>
          <w:bCs/>
          <w:kern w:val="2"/>
          <w:sz w:val="32"/>
          <w:szCs w:val="44"/>
          <w:lang w:val="en-US" w:eastAsia="zh-CN" w:bidi="ar-SA"/>
        </w:rPr>
        <w:t>一）组织领导。</w:t>
      </w:r>
      <w:r>
        <w:rPr>
          <w:rFonts w:hint="eastAsia" w:ascii="Times New Roman" w:hAnsi="Times New Roman" w:eastAsia="仿宋" w:cs="Times New Roman"/>
          <w:bCs/>
          <w:kern w:val="2"/>
          <w:sz w:val="32"/>
          <w:szCs w:val="44"/>
          <w:lang w:val="en-US" w:eastAsia="zh-CN" w:bidi="ar-SA"/>
        </w:rPr>
        <w:t>各村、企业要进一步提高政治站位，加强对易爆物品安全生产专项排查整治工作的组织领导，主要负责人要亲自抓、负总责，分管负责人要具体抓、负全责。统筹联动、协调推进，确保排查不留盲区、整治不留死角，确保专项整治工作真正取得实效。</w:t>
      </w:r>
    </w:p>
    <w:p>
      <w:pPr>
        <w:widowControl w:val="0"/>
        <w:bidi w:val="0"/>
        <w:spacing w:line="600" w:lineRule="exact"/>
        <w:ind w:firstLine="640" w:firstLineChars="200"/>
        <w:jc w:val="both"/>
        <w:rPr>
          <w:rFonts w:hint="eastAsia" w:ascii="仿宋" w:hAnsi="仿宋" w:eastAsia="仿宋" w:cs="仿宋"/>
          <w:sz w:val="32"/>
          <w:szCs w:val="32"/>
          <w:lang w:val="en-US" w:eastAsia="zh-CN"/>
        </w:rPr>
      </w:pPr>
      <w:bookmarkStart w:id="10" w:name="bookmark19"/>
      <w:r>
        <w:rPr>
          <w:rFonts w:hint="eastAsia" w:ascii="楷体" w:hAnsi="楷体" w:eastAsia="楷体" w:cs="楷体"/>
          <w:b w:val="0"/>
          <w:bCs/>
          <w:kern w:val="2"/>
          <w:sz w:val="32"/>
          <w:szCs w:val="44"/>
          <w:lang w:val="en-US" w:eastAsia="zh-CN" w:bidi="ar-SA"/>
        </w:rPr>
        <w:t>（</w:t>
      </w:r>
      <w:bookmarkEnd w:id="10"/>
      <w:r>
        <w:rPr>
          <w:rFonts w:hint="eastAsia" w:ascii="楷体" w:hAnsi="楷体" w:eastAsia="楷体" w:cs="楷体"/>
          <w:b w:val="0"/>
          <w:bCs/>
          <w:kern w:val="2"/>
          <w:sz w:val="32"/>
          <w:szCs w:val="44"/>
          <w:lang w:val="en-US" w:eastAsia="zh-CN" w:bidi="ar-SA"/>
        </w:rPr>
        <w:t>二）落实责任。</w:t>
      </w:r>
      <w:r>
        <w:rPr>
          <w:rFonts w:hint="eastAsia" w:ascii="Times New Roman" w:hAnsi="Times New Roman" w:eastAsia="仿宋" w:cs="Times New Roman"/>
          <w:bCs/>
          <w:kern w:val="2"/>
          <w:sz w:val="32"/>
          <w:szCs w:val="44"/>
          <w:lang w:val="en-US" w:eastAsia="zh-CN" w:bidi="ar-SA"/>
        </w:rPr>
        <w:t>各村、企业要按照“谁主管、谁负责,谁审批、谁负责，谁监管、谁负责”的原则，进一步明确易爆物品生产、经营、贮存、运输、使用各环节的安全监管和安全管理责任，督促生产经营单位严格落实安全生产主体责任，健全完善各项安全生产管理制度，防范化解各类安全风险，排查整治各类安全隐患，确保安全。</w:t>
      </w:r>
    </w:p>
    <w:p>
      <w:pPr>
        <w:pStyle w:val="7"/>
        <w:bidi w:val="0"/>
        <w:ind w:left="0" w:leftChars="0" w:firstLine="0" w:firstLineChars="0"/>
        <w:jc w:val="right"/>
        <w:rPr>
          <w:rFonts w:hint="eastAsia"/>
          <w:lang w:val="en-US" w:eastAsia="zh-CN"/>
        </w:rPr>
      </w:pPr>
    </w:p>
    <w:sectPr>
      <w:pgSz w:w="11906" w:h="16838"/>
      <w:pgMar w:top="1440" w:right="1800" w:bottom="1440" w:left="1800" w:header="851" w:footer="992" w:gutter="0"/>
      <w:pgNumType w:start="2"/>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MS PGothic">
    <w:panose1 w:val="020B0600070205080204"/>
    <w:charset w:val="80"/>
    <w:family w:val="auto"/>
    <w:pitch w:val="default"/>
    <w:sig w:usb0="E00002FF" w:usb1="6AC7FDFB" w:usb2="08000012" w:usb3="00000000" w:csb0="4002009F" w:csb1="DFD70000"/>
  </w:font>
  <w:font w:name="方正大标宋简体">
    <w:altName w:val="微软雅黑"/>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9143A0"/>
    <w:rsid w:val="114F4C56"/>
    <w:rsid w:val="16C10FF1"/>
    <w:rsid w:val="1D5546D5"/>
    <w:rsid w:val="245F72BB"/>
    <w:rsid w:val="269E5726"/>
    <w:rsid w:val="26BB0401"/>
    <w:rsid w:val="2F09171D"/>
    <w:rsid w:val="30877A0C"/>
    <w:rsid w:val="32FE0264"/>
    <w:rsid w:val="34CA129A"/>
    <w:rsid w:val="35372B89"/>
    <w:rsid w:val="373102A8"/>
    <w:rsid w:val="39167AD4"/>
    <w:rsid w:val="3FA26BD3"/>
    <w:rsid w:val="43DA79B1"/>
    <w:rsid w:val="4AE96587"/>
    <w:rsid w:val="4CC41F20"/>
    <w:rsid w:val="4E7D094C"/>
    <w:rsid w:val="6086777F"/>
    <w:rsid w:val="618169EC"/>
    <w:rsid w:val="63174025"/>
    <w:rsid w:val="682B3B03"/>
    <w:rsid w:val="6997779C"/>
    <w:rsid w:val="6AFC3594"/>
    <w:rsid w:val="6D704F39"/>
    <w:rsid w:val="712C0F01"/>
    <w:rsid w:val="738008AE"/>
    <w:rsid w:val="7C2649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next w:val="1"/>
    <w:qFormat/>
    <w:uiPriority w:val="0"/>
    <w:pPr>
      <w:keepNext/>
      <w:keepLines/>
      <w:widowControl w:val="0"/>
      <w:spacing w:beforeLines="0" w:beforeAutospacing="0" w:afterLines="0" w:afterAutospacing="0" w:line="600" w:lineRule="exact"/>
      <w:ind w:firstLine="560" w:firstLineChars="200"/>
      <w:jc w:val="both"/>
      <w:outlineLvl w:val="0"/>
    </w:pPr>
    <w:rPr>
      <w:rFonts w:ascii="Times New Roman" w:hAnsi="Times New Roman" w:eastAsia="黑体" w:cs="Times New Roman"/>
      <w:kern w:val="44"/>
      <w:sz w:val="32"/>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正文内容"/>
    <w:basedOn w:val="1"/>
    <w:qFormat/>
    <w:uiPriority w:val="0"/>
    <w:pPr>
      <w:spacing w:line="600" w:lineRule="exact"/>
      <w:ind w:firstLine="560" w:firstLineChars="200"/>
      <w:jc w:val="both"/>
    </w:pPr>
    <w:rPr>
      <w:rFonts w:hint="eastAsia" w:eastAsia="仿宋"/>
      <w:bCs/>
      <w:sz w:val="32"/>
      <w:szCs w:val="4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Office_11.1.0.10524_F1E327BC-269C-435d-A152-05C5408002CA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2021-03-25T11:25:00Z</dcterms:created>
  <dc:creator>Administrator</dc:creator>
  <cp:lastModifiedBy>ybz</cp:lastModifiedBy>
  <cp:lastPrinted>2021-06-15T11:38:00Z</cp:lastPrinted>
  <dcterms:modified xsi:type="dcterms:W3CDTF">2021-12-22T06:18:38Z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2052-11.1.0.10524</vt:lpwstr>
  </property>
  <property fmtid="{D5CDD505-2E9C-101B-9397-08002B2CF9AE}" pid="3" name="ICV">
    <vt:lpwstr>EF6991FB21C54EC883423FBE6444569F</vt:lpwstr>
  </property>
</Properties>
</file>