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p>
    <w:p>
      <w:pPr>
        <w:pStyle w:val="5"/>
        <w:rPr>
          <w:rFonts w:hint="eastAsia" w:ascii="仿宋_GB2312" w:hAnsi="仿宋_GB2312" w:eastAsia="仿宋_GB2312" w:cs="仿宋_GB2312"/>
          <w:sz w:val="32"/>
          <w:szCs w:val="32"/>
          <w:lang w:eastAsia="zh-CN"/>
        </w:rPr>
      </w:pPr>
    </w:p>
    <w:p>
      <w:pPr>
        <w:pStyle w:val="6"/>
        <w:rPr>
          <w:rFonts w:hint="eastAsia"/>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before="157" w:beforeLines="50"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右农办发〔</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lang w:val="en-US" w:eastAsia="zh-CN"/>
        </w:rPr>
        <w:t>号</w:t>
      </w:r>
    </w:p>
    <w:p>
      <w:pPr>
        <w:pStyle w:val="5"/>
        <w:keepNext w:val="0"/>
        <w:keepLines w:val="0"/>
        <w:pageBreakBefore w:val="0"/>
        <w:kinsoku/>
        <w:wordWrap/>
        <w:overflowPunct/>
        <w:topLinePunct w:val="0"/>
        <w:bidi w:val="0"/>
        <w:snapToGrid/>
        <w:spacing w:line="600" w:lineRule="exact"/>
        <w:textAlignment w:val="auto"/>
        <w:rPr>
          <w:rFonts w:hint="eastAsia" w:ascii="仿宋_GB2312" w:hAnsi="仿宋_GB2312" w:eastAsia="仿宋_GB2312" w:cs="仿宋_GB2312"/>
          <w:lang w:eastAsia="zh-CN"/>
        </w:rPr>
      </w:pPr>
    </w:p>
    <w:p>
      <w:pPr>
        <w:keepNext w:val="0"/>
        <w:keepLines w:val="0"/>
        <w:pageBreakBefore w:val="0"/>
        <w:widowControl w:val="0"/>
        <w:kinsoku/>
        <w:wordWrap/>
        <w:overflowPunct/>
        <w:topLinePunct w:val="0"/>
        <w:autoSpaceDE/>
        <w:autoSpaceDN/>
        <w:bidi w:val="0"/>
        <w:adjustRightInd/>
        <w:snapToGrid/>
        <w:spacing w:before="157" w:beforeLines="50"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中共</w:t>
      </w:r>
      <w:r>
        <w:rPr>
          <w:rFonts w:hint="eastAsia" w:ascii="方正小标宋简体" w:hAnsi="方正小标宋简体" w:eastAsia="方正小标宋简体" w:cs="方正小标宋简体"/>
          <w:b w:val="0"/>
          <w:bCs w:val="0"/>
          <w:sz w:val="44"/>
          <w:szCs w:val="44"/>
          <w:lang w:eastAsia="zh-CN"/>
        </w:rPr>
        <w:t>右玉</w:t>
      </w:r>
      <w:r>
        <w:rPr>
          <w:rFonts w:hint="eastAsia" w:ascii="方正小标宋简体" w:hAnsi="方正小标宋简体" w:eastAsia="方正小标宋简体" w:cs="方正小标宋简体"/>
          <w:b w:val="0"/>
          <w:bCs w:val="0"/>
          <w:sz w:val="44"/>
          <w:szCs w:val="44"/>
          <w:lang w:val="en-US" w:eastAsia="zh-CN"/>
        </w:rPr>
        <w:t>县委农村工作领导小组办公室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w:t>
      </w:r>
      <w:r>
        <w:rPr>
          <w:rFonts w:hint="eastAsia" w:ascii="方正小标宋简体" w:hAnsi="方正小标宋简体" w:eastAsia="方正小标宋简体" w:cs="方正小标宋简体"/>
          <w:b w:val="0"/>
          <w:bCs w:val="0"/>
          <w:sz w:val="44"/>
          <w:szCs w:val="44"/>
        </w:rPr>
        <w:t>防止返贫监测和帮扶工作</w:t>
      </w:r>
      <w:r>
        <w:rPr>
          <w:rFonts w:hint="eastAsia" w:ascii="方正小标宋简体" w:hAnsi="方正小标宋简体" w:eastAsia="方正小标宋简体" w:cs="方正小标宋简体"/>
          <w:b w:val="0"/>
          <w:bCs w:val="0"/>
          <w:sz w:val="44"/>
          <w:szCs w:val="44"/>
          <w:lang w:val="en-US" w:eastAsia="zh-CN"/>
        </w:rPr>
        <w:t>的实施方案</w:t>
      </w: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各乡镇、杀虎口风景名胜区、</w:t>
      </w:r>
      <w:r>
        <w:rPr>
          <w:rFonts w:hint="eastAsia" w:ascii="仿宋" w:hAnsi="仿宋" w:eastAsia="仿宋" w:cs="仿宋"/>
          <w:b w:val="0"/>
          <w:bCs w:val="0"/>
          <w:sz w:val="32"/>
          <w:szCs w:val="32"/>
          <w:lang w:val="en-US" w:eastAsia="zh-CN"/>
        </w:rPr>
        <w:t>各相关单位</w:t>
      </w:r>
      <w:r>
        <w:rPr>
          <w:rFonts w:hint="eastAsia" w:ascii="仿宋" w:hAnsi="仿宋" w:eastAsia="仿宋" w:cs="仿宋"/>
          <w:b w:val="0"/>
          <w:bCs w:val="0"/>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rPr>
      </w:pPr>
      <w:r>
        <w:rPr>
          <w:rFonts w:hint="eastAsia"/>
        </w:rPr>
        <w:t>根据《山西省脱贫攻坚领导小组印发</w:t>
      </w:r>
      <w:r>
        <w:rPr>
          <w:rFonts w:hint="eastAsia"/>
          <w:lang w:val="en-US" w:eastAsia="zh-CN"/>
        </w:rPr>
        <w:t>&lt;</w:t>
      </w:r>
      <w:r>
        <w:rPr>
          <w:rFonts w:hint="eastAsia"/>
        </w:rPr>
        <w:t>关于建立防止返贫监测和帮扶机制的实施办法</w:t>
      </w:r>
      <w:r>
        <w:rPr>
          <w:rFonts w:hint="eastAsia"/>
          <w:lang w:val="en-US" w:eastAsia="zh-CN"/>
        </w:rPr>
        <w:t>&gt;</w:t>
      </w:r>
      <w:r>
        <w:rPr>
          <w:rFonts w:hint="eastAsia"/>
        </w:rPr>
        <w:t>等三个文件的通知》</w:t>
      </w:r>
      <w:r>
        <w:rPr>
          <w:rFonts w:hint="eastAsia"/>
          <w:lang w:eastAsia="zh-CN"/>
        </w:rPr>
        <w:t>（</w:t>
      </w:r>
      <w:r>
        <w:rPr>
          <w:rFonts w:ascii="仿宋_GB2312" w:hAnsi="宋体" w:eastAsia="仿宋_GB2312" w:cs="仿宋_GB2312"/>
          <w:color w:val="000000"/>
          <w:kern w:val="0"/>
          <w:sz w:val="31"/>
          <w:szCs w:val="31"/>
          <w:lang w:val="en-US" w:eastAsia="zh-CN" w:bidi="ar"/>
        </w:rPr>
        <w:t>晋脱贫攻坚组〔2020〕11 号</w:t>
      </w:r>
      <w:r>
        <w:rPr>
          <w:rFonts w:hint="eastAsia"/>
          <w:lang w:eastAsia="zh-CN"/>
        </w:rPr>
        <w:t>）</w:t>
      </w:r>
      <w:r>
        <w:rPr>
          <w:rFonts w:hint="eastAsia"/>
        </w:rPr>
        <w:t>文件要求</w:t>
      </w:r>
      <w:r>
        <w:rPr>
          <w:rFonts w:hint="eastAsia"/>
          <w:lang w:eastAsia="zh-CN"/>
        </w:rPr>
        <w:t>，</w:t>
      </w:r>
      <w:r>
        <w:rPr>
          <w:rFonts w:hint="eastAsia"/>
        </w:rPr>
        <w:t>结合工作实际，制定本</w:t>
      </w:r>
      <w:r>
        <w:rPr>
          <w:rFonts w:hint="eastAsia"/>
          <w:lang w:val="en-US" w:eastAsia="zh-CN"/>
        </w:rPr>
        <w:t>实施办法，</w:t>
      </w:r>
      <w:r>
        <w:rPr>
          <w:rFonts w:hint="eastAsia"/>
          <w:lang w:eastAsia="zh-CN"/>
        </w:rPr>
        <w:t>对</w:t>
      </w:r>
      <w:r>
        <w:rPr>
          <w:rFonts w:hint="eastAsia"/>
          <w:lang w:val="en-US" w:eastAsia="zh-CN"/>
        </w:rPr>
        <w:t>2020年6月7日县脱贫攻坚领导小组办公室以右脱贫攻坚办字</w:t>
      </w:r>
      <w:r>
        <w:rPr>
          <w:rFonts w:ascii="仿宋_GB2312" w:hAnsi="宋体" w:eastAsia="仿宋_GB2312" w:cs="仿宋_GB2312"/>
          <w:color w:val="000000"/>
          <w:kern w:val="0"/>
          <w:sz w:val="31"/>
          <w:szCs w:val="31"/>
          <w:lang w:val="en-US" w:eastAsia="zh-CN" w:bidi="ar"/>
        </w:rPr>
        <w:t>〔2020〕</w:t>
      </w:r>
      <w:r>
        <w:rPr>
          <w:rFonts w:hint="eastAsia"/>
          <w:lang w:val="en-US" w:eastAsia="zh-CN"/>
        </w:rPr>
        <w:t>19号文件印发的</w:t>
      </w:r>
      <w:r>
        <w:rPr>
          <w:rFonts w:hint="eastAsia"/>
          <w:lang w:eastAsia="zh-CN"/>
        </w:rPr>
        <w:t>《右玉</w:t>
      </w:r>
      <w:r>
        <w:rPr>
          <w:rFonts w:hint="eastAsia"/>
          <w:lang w:val="en-US" w:eastAsia="zh-CN"/>
        </w:rPr>
        <w:t>县防止返贫致贫监测和帮扶工作实施方案</w:t>
      </w:r>
      <w:r>
        <w:rPr>
          <w:rFonts w:hint="eastAsia"/>
          <w:lang w:eastAsia="zh-CN"/>
        </w:rPr>
        <w:t>》</w:t>
      </w:r>
      <w:r>
        <w:rPr>
          <w:rFonts w:hint="eastAsia"/>
          <w:lang w:val="en-US" w:eastAsia="zh-CN"/>
        </w:rPr>
        <w:t>作</w:t>
      </w:r>
      <w:r>
        <w:rPr>
          <w:rFonts w:hint="eastAsia"/>
          <w:lang w:eastAsia="zh-CN"/>
        </w:rPr>
        <w:t>进一步细化、量化</w:t>
      </w:r>
      <w:r>
        <w:rPr>
          <w:rFonts w:hint="eastAsia"/>
          <w:lang w:val="en-US" w:eastAsia="zh-CN"/>
        </w:rPr>
        <w:t>和完善，以更好地适应工作形势和任务的要求</w:t>
      </w:r>
      <w:r>
        <w:rPr>
          <w:rFonts w:hint="eastAsia"/>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rPr>
        <w:t>一、</w:t>
      </w:r>
      <w:r>
        <w:rPr>
          <w:rFonts w:hint="eastAsia" w:ascii="黑体" w:hAnsi="黑体" w:eastAsia="黑体" w:cs="黑体"/>
          <w:lang w:eastAsia="zh-CN"/>
        </w:rPr>
        <w:t>总体</w:t>
      </w:r>
      <w:r>
        <w:rPr>
          <w:rFonts w:hint="eastAsia" w:ascii="黑体" w:hAnsi="黑体" w:eastAsia="黑体" w:cs="黑体"/>
        </w:rPr>
        <w:t>目标</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建立健全防止致贫返贫监测和帮扶机制，对脱贫不稳定人口和边缘人口</w:t>
      </w:r>
      <w:r>
        <w:rPr>
          <w:rFonts w:hint="eastAsia"/>
          <w:lang w:val="en-US" w:eastAsia="zh-CN"/>
        </w:rPr>
        <w:t>及时</w:t>
      </w:r>
      <w:r>
        <w:rPr>
          <w:rFonts w:hint="eastAsia"/>
        </w:rPr>
        <w:t>进行预警监测和处置，确保建档立卡脱贫户在现行标准下实现稳定脱贫、边缘户不致贫，有效防止出现新的绝对贫困，达到“零返贫、零致贫”目标，确保全面小康路上“不漏一户、不掉一人”</w:t>
      </w:r>
      <w:r>
        <w:rPr>
          <w:rFonts w:hint="eastAsia"/>
          <w:lang w:eastAsia="zh-CN"/>
        </w:rPr>
        <w:t>，</w:t>
      </w:r>
      <w:r>
        <w:rPr>
          <w:rFonts w:hint="eastAsia"/>
        </w:rPr>
        <w:t>接续推进全面脱贫和乡村振兴有效衔接。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lang w:eastAsia="zh-CN"/>
        </w:rPr>
      </w:pPr>
      <w:r>
        <w:rPr>
          <w:rFonts w:hint="eastAsia" w:ascii="黑体" w:hAnsi="黑体" w:eastAsia="黑体" w:cs="黑体"/>
        </w:rPr>
        <w:t>二、</w:t>
      </w:r>
      <w:r>
        <w:rPr>
          <w:rFonts w:hint="eastAsia" w:ascii="黑体" w:hAnsi="黑体" w:eastAsia="黑体" w:cs="黑体"/>
          <w:lang w:eastAsia="zh-CN"/>
        </w:rPr>
        <w:t>监测机制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华文楷体" w:hAnsi="华文楷体" w:eastAsia="华文楷体" w:cs="华文楷体"/>
        </w:rPr>
      </w:pPr>
      <w:r>
        <w:rPr>
          <w:rFonts w:hint="eastAsia" w:ascii="华文楷体" w:hAnsi="华文楷体" w:eastAsia="华文楷体" w:cs="华文楷体"/>
        </w:rPr>
        <w:t>(</w:t>
      </w:r>
      <w:r>
        <w:rPr>
          <w:rFonts w:hint="eastAsia" w:ascii="华文楷体" w:hAnsi="华文楷体" w:eastAsia="华文楷体" w:cs="华文楷体"/>
          <w:lang w:eastAsia="zh-CN"/>
        </w:rPr>
        <w:t>一</w:t>
      </w:r>
      <w:r>
        <w:rPr>
          <w:rFonts w:hint="eastAsia" w:ascii="华文楷体" w:hAnsi="华文楷体" w:eastAsia="华文楷体" w:cs="华文楷体"/>
        </w:rPr>
        <w:t>)</w:t>
      </w:r>
      <w:r>
        <w:rPr>
          <w:rFonts w:hint="eastAsia" w:ascii="华文楷体" w:hAnsi="华文楷体" w:eastAsia="华文楷体" w:cs="华文楷体"/>
          <w:lang w:val="en-US" w:eastAsia="zh-CN"/>
        </w:rPr>
        <w:t xml:space="preserve"> </w:t>
      </w:r>
      <w:r>
        <w:rPr>
          <w:rFonts w:hint="eastAsia" w:ascii="华文楷体" w:hAnsi="华文楷体" w:eastAsia="华文楷体" w:cs="华文楷体"/>
        </w:rPr>
        <w:t>监测内容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重点围绕“两不愁三保障”实现情况，对监测对象的</w:t>
      </w:r>
      <w:r>
        <w:rPr>
          <w:rFonts w:hint="eastAsia" w:ascii="仿宋" w:hAnsi="仿宋" w:eastAsia="仿宋" w:cs="仿宋"/>
          <w:sz w:val="32"/>
          <w:szCs w:val="32"/>
          <w:lang w:val="en"/>
        </w:rPr>
        <w:t>住房</w:t>
      </w:r>
      <w:r>
        <w:rPr>
          <w:rFonts w:hint="eastAsia" w:ascii="仿宋" w:hAnsi="仿宋" w:eastAsia="仿宋" w:cs="仿宋"/>
          <w:sz w:val="32"/>
          <w:szCs w:val="32"/>
          <w:lang w:val="en" w:eastAsia="zh-CN"/>
        </w:rPr>
        <w:t>、饮水出现安全</w:t>
      </w:r>
      <w:r>
        <w:rPr>
          <w:rFonts w:hint="eastAsia" w:ascii="仿宋" w:hAnsi="仿宋" w:eastAsia="仿宋" w:cs="仿宋"/>
          <w:sz w:val="32"/>
          <w:szCs w:val="32"/>
          <w:lang w:val="en"/>
        </w:rPr>
        <w:t>隐患</w:t>
      </w:r>
      <w:r>
        <w:rPr>
          <w:rFonts w:hint="eastAsia" w:ascii="仿宋" w:hAnsi="仿宋" w:eastAsia="仿宋" w:cs="仿宋"/>
          <w:sz w:val="32"/>
          <w:szCs w:val="32"/>
          <w:lang w:val="en" w:eastAsia="zh-CN"/>
        </w:rPr>
        <w:t>；因病、因灾、因残、因意外事故等导致</w:t>
      </w:r>
      <w:r>
        <w:rPr>
          <w:rFonts w:hint="eastAsia" w:ascii="仿宋" w:hAnsi="仿宋" w:eastAsia="仿宋" w:cs="仿宋"/>
          <w:sz w:val="32"/>
          <w:szCs w:val="32"/>
          <w:lang w:val="en"/>
        </w:rPr>
        <w:t>收入骤减或支出骤增</w:t>
      </w:r>
      <w:r>
        <w:rPr>
          <w:rFonts w:hint="eastAsia" w:ascii="仿宋" w:hAnsi="仿宋" w:eastAsia="仿宋" w:cs="仿宋"/>
          <w:sz w:val="32"/>
          <w:szCs w:val="32"/>
          <w:lang w:val="en" w:eastAsia="zh-CN"/>
        </w:rPr>
        <w:t>；产业项目发展失败、大宗农副产品价格持续大幅下跌；易地扶贫搬迁集中安置区搬迁人口就业不稳定，失业明显增多，务工收入、经营性收入减少；水旱火灾、气象灾害、地震地质灾害、生物疫情等重大突发公共事件、重大</w:t>
      </w:r>
      <w:r>
        <w:rPr>
          <w:rFonts w:hint="eastAsia" w:ascii="仿宋" w:hAnsi="仿宋" w:eastAsia="仿宋" w:cs="仿宋"/>
          <w:sz w:val="32"/>
          <w:szCs w:val="32"/>
          <w:lang w:val="en"/>
        </w:rPr>
        <w:t>安全事故</w:t>
      </w:r>
      <w:r>
        <w:rPr>
          <w:rFonts w:hint="eastAsia" w:ascii="仿宋" w:hAnsi="仿宋" w:eastAsia="仿宋" w:cs="仿宋"/>
          <w:sz w:val="32"/>
          <w:szCs w:val="32"/>
          <w:lang w:val="en" w:eastAsia="zh-CN"/>
        </w:rPr>
        <w:t>造成重大人员伤害和经济损失；特惠性政策转向普惠性政策，专项增收政策减少或不再延续，代缴和报销覆盖面收窄、比例下调等导致收入</w:t>
      </w:r>
      <w:r>
        <w:rPr>
          <w:rFonts w:hint="eastAsia" w:ascii="仿宋" w:hAnsi="仿宋" w:eastAsia="仿宋" w:cs="仿宋"/>
          <w:sz w:val="32"/>
          <w:szCs w:val="32"/>
          <w:lang w:val="en-US" w:eastAsia="zh-CN"/>
        </w:rPr>
        <w:t>骤</w:t>
      </w:r>
      <w:r>
        <w:rPr>
          <w:rFonts w:hint="eastAsia" w:ascii="仿宋" w:hAnsi="仿宋" w:eastAsia="仿宋" w:cs="仿宋"/>
          <w:sz w:val="32"/>
          <w:szCs w:val="32"/>
          <w:lang w:val="en" w:eastAsia="zh-CN"/>
        </w:rPr>
        <w:t>减或支出</w:t>
      </w:r>
      <w:r>
        <w:rPr>
          <w:rFonts w:hint="eastAsia" w:ascii="仿宋" w:hAnsi="仿宋" w:eastAsia="仿宋" w:cs="仿宋"/>
          <w:sz w:val="32"/>
          <w:szCs w:val="32"/>
          <w:lang w:val="en-US" w:eastAsia="zh-CN"/>
        </w:rPr>
        <w:t>骤</w:t>
      </w:r>
      <w:r>
        <w:rPr>
          <w:rFonts w:hint="eastAsia" w:ascii="仿宋" w:hAnsi="仿宋" w:eastAsia="仿宋" w:cs="仿宋"/>
          <w:sz w:val="32"/>
          <w:szCs w:val="32"/>
          <w:lang w:val="en" w:eastAsia="zh-CN"/>
        </w:rPr>
        <w:t>增。</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华文楷体" w:hAnsi="华文楷体" w:eastAsia="华文楷体" w:cs="华文楷体"/>
        </w:rPr>
      </w:pPr>
      <w:r>
        <w:rPr>
          <w:rFonts w:hint="eastAsia" w:ascii="华文楷体" w:hAnsi="华文楷体" w:eastAsia="华文楷体" w:cs="华文楷体"/>
          <w:lang w:eastAsia="zh-CN"/>
        </w:rPr>
        <w:t>（</w:t>
      </w:r>
      <w:r>
        <w:rPr>
          <w:rFonts w:hint="eastAsia" w:ascii="华文楷体" w:hAnsi="华文楷体" w:eastAsia="华文楷体" w:cs="华文楷体"/>
          <w:lang w:val="en-US" w:eastAsia="zh-CN"/>
        </w:rPr>
        <w:t>二）</w:t>
      </w:r>
      <w:r>
        <w:rPr>
          <w:rFonts w:hint="eastAsia" w:ascii="华文楷体" w:hAnsi="华文楷体" w:eastAsia="华文楷体" w:cs="华文楷体"/>
        </w:rPr>
        <w:t>监测对象</w:t>
      </w:r>
    </w:p>
    <w:p>
      <w:pPr>
        <w:autoSpaceDE w:val="0"/>
        <w:autoSpaceDN w:val="0"/>
        <w:adjustRightInd w:val="0"/>
        <w:spacing w:line="600" w:lineRule="exact"/>
        <w:ind w:firstLine="640"/>
        <w:jc w:val="center"/>
        <w:rPr>
          <w:rFonts w:hint="eastAsia"/>
          <w:lang w:val="en-US" w:eastAsia="zh-CN"/>
        </w:rPr>
      </w:pPr>
      <w:r>
        <w:rPr>
          <w:rFonts w:hint="eastAsia"/>
          <w:lang w:val="en-US" w:eastAsia="zh-CN"/>
        </w:rPr>
        <w:t>全县所有农户均为监测对象。以下四类为重点监测对象，</w:t>
      </w:r>
    </w:p>
    <w:p>
      <w:pPr>
        <w:autoSpaceDE w:val="0"/>
        <w:autoSpaceDN w:val="0"/>
        <w:adjustRightInd w:val="0"/>
        <w:spacing w:line="600" w:lineRule="exact"/>
        <w:jc w:val="both"/>
        <w:rPr>
          <w:rFonts w:hint="default" w:eastAsia="仿宋_GB2312"/>
          <w:lang w:val="en-US" w:eastAsia="zh-CN"/>
        </w:rPr>
      </w:pPr>
      <w:r>
        <w:rPr>
          <w:rFonts w:hint="eastAsia"/>
          <w:lang w:val="en-US" w:eastAsia="zh-CN"/>
        </w:rPr>
        <w:t>实行建档管理。建档方式为四类重点监测对象全部填写《</w:t>
      </w:r>
      <w:r>
        <w:rPr>
          <w:rFonts w:hint="eastAsia" w:ascii="Times New Roman" w:hAnsi="Times New Roman"/>
          <w:lang w:val="en-US" w:eastAsia="zh-CN"/>
        </w:rPr>
        <w:t>右玉县防返贫致贫监测摸底表</w:t>
      </w:r>
      <w:r>
        <w:rPr>
          <w:rFonts w:hint="eastAsia"/>
          <w:lang w:val="en-US" w:eastAsia="zh-CN"/>
        </w:rPr>
        <w:t>》，其中原</w:t>
      </w:r>
      <w:r>
        <w:rPr>
          <w:rFonts w:hint="eastAsia" w:ascii="Times New Roman" w:hAnsi="Times New Roman"/>
          <w:lang w:val="en-US" w:eastAsia="zh-CN"/>
        </w:rPr>
        <w:t>脱贫监测户</w:t>
      </w:r>
      <w:r>
        <w:rPr>
          <w:rFonts w:hint="eastAsia"/>
          <w:lang w:val="en-US" w:eastAsia="zh-CN"/>
        </w:rPr>
        <w:t>同时</w:t>
      </w:r>
      <w:r>
        <w:rPr>
          <w:rFonts w:hint="eastAsia" w:ascii="Times New Roman" w:hAnsi="Times New Roman"/>
          <w:lang w:val="en-US" w:eastAsia="zh-CN"/>
        </w:rPr>
        <w:t>填写《脱贫监测户信息采集表》</w:t>
      </w:r>
      <w:r>
        <w:rPr>
          <w:rFonts w:hint="eastAsia"/>
          <w:lang w:val="en-US" w:eastAsia="zh-CN"/>
        </w:rPr>
        <w:t>，原有以及新识别的边缘易致贫户同时填写</w:t>
      </w:r>
      <w:r>
        <w:rPr>
          <w:rFonts w:hint="eastAsia" w:ascii="Times New Roman" w:hAnsi="Times New Roman"/>
          <w:lang w:val="en-US" w:eastAsia="zh-CN"/>
        </w:rPr>
        <w:t>《边缘户信息采集表》</w:t>
      </w:r>
      <w:r>
        <w:rPr>
          <w:rFonts w:hint="eastAsia"/>
          <w:lang w:val="en-US" w:eastAsia="zh-CN"/>
        </w:rPr>
        <w:t>，新识别边缘易致贫户表头填加“新增”两字进行标注。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1</w:t>
      </w:r>
      <w:r>
        <w:rPr>
          <w:rFonts w:hint="eastAsia"/>
          <w:lang w:eastAsia="zh-CN"/>
        </w:rPr>
        <w:t>、</w:t>
      </w:r>
      <w:r>
        <w:rPr>
          <w:rFonts w:hint="eastAsia"/>
        </w:rPr>
        <w:t>全国</w:t>
      </w:r>
      <w:r>
        <w:rPr>
          <w:rFonts w:hint="eastAsia"/>
          <w:lang w:val="en-US" w:eastAsia="zh-CN"/>
        </w:rPr>
        <w:t>防返贫</w:t>
      </w:r>
      <w:r>
        <w:rPr>
          <w:rFonts w:hint="eastAsia"/>
        </w:rPr>
        <w:t>信息</w:t>
      </w:r>
      <w:r>
        <w:rPr>
          <w:rFonts w:hint="eastAsia"/>
          <w:lang w:val="en-US" w:eastAsia="zh-CN"/>
        </w:rPr>
        <w:t>监测</w:t>
      </w:r>
      <w:r>
        <w:rPr>
          <w:rFonts w:hint="eastAsia"/>
        </w:rPr>
        <w:t>系统</w:t>
      </w:r>
      <w:r>
        <w:rPr>
          <w:rFonts w:hint="eastAsia"/>
          <w:lang w:val="en-US" w:eastAsia="zh-CN"/>
        </w:rPr>
        <w:t>中现有</w:t>
      </w:r>
      <w:r>
        <w:rPr>
          <w:rFonts w:hint="eastAsia"/>
        </w:rPr>
        <w:t>脱贫监测户</w:t>
      </w:r>
      <w:r>
        <w:rPr>
          <w:rFonts w:hint="eastAsia"/>
          <w:lang w:eastAsia="zh-CN"/>
        </w:rPr>
        <w:t>（</w:t>
      </w:r>
      <w:r>
        <w:rPr>
          <w:rFonts w:hint="eastAsia"/>
          <w:lang w:val="en-US" w:eastAsia="zh-CN"/>
        </w:rPr>
        <w:t>292</w:t>
      </w:r>
      <w:r>
        <w:rPr>
          <w:rFonts w:hint="eastAsia"/>
        </w:rPr>
        <w:t>户</w:t>
      </w:r>
      <w:r>
        <w:rPr>
          <w:rFonts w:hint="eastAsia"/>
          <w:lang w:eastAsia="zh-CN"/>
        </w:rPr>
        <w:t>）</w:t>
      </w:r>
      <w:r>
        <w:rPr>
          <w:rFonts w:hint="eastAsia"/>
        </w:rPr>
        <w:t>和已录入的边缘户</w:t>
      </w:r>
      <w:r>
        <w:rPr>
          <w:rFonts w:hint="eastAsia"/>
          <w:lang w:eastAsia="zh-CN"/>
        </w:rPr>
        <w:t>（</w:t>
      </w:r>
      <w:r>
        <w:rPr>
          <w:rFonts w:hint="eastAsia"/>
          <w:lang w:val="en-US" w:eastAsia="zh-CN"/>
        </w:rPr>
        <w:t>51</w:t>
      </w:r>
      <w:r>
        <w:rPr>
          <w:rFonts w:hint="eastAsia"/>
        </w:rPr>
        <w:t>户</w:t>
      </w:r>
      <w:r>
        <w:rPr>
          <w:rFonts w:hint="eastAsia"/>
          <w:lang w:eastAsia="zh-CN"/>
        </w:rPr>
        <w:t>）</w:t>
      </w:r>
      <w:r>
        <w:rPr>
          <w:rFonts w:hint="eastAsia"/>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2</w:t>
      </w:r>
      <w:r>
        <w:rPr>
          <w:rFonts w:hint="eastAsia"/>
          <w:lang w:eastAsia="zh-CN"/>
        </w:rPr>
        <w:t>、</w:t>
      </w:r>
      <w:r>
        <w:rPr>
          <w:rFonts w:hint="eastAsia"/>
        </w:rPr>
        <w:t>除全国</w:t>
      </w:r>
      <w:r>
        <w:rPr>
          <w:rFonts w:hint="eastAsia"/>
          <w:lang w:val="en-US" w:eastAsia="zh-CN"/>
        </w:rPr>
        <w:t>防返贫</w:t>
      </w:r>
      <w:r>
        <w:rPr>
          <w:rFonts w:hint="eastAsia"/>
        </w:rPr>
        <w:t>信息</w:t>
      </w:r>
      <w:r>
        <w:rPr>
          <w:rFonts w:hint="eastAsia"/>
          <w:lang w:val="en-US" w:eastAsia="zh-CN"/>
        </w:rPr>
        <w:t>监测</w:t>
      </w:r>
      <w:r>
        <w:rPr>
          <w:rFonts w:hint="eastAsia"/>
        </w:rPr>
        <w:t>系统</w:t>
      </w:r>
      <w:r>
        <w:rPr>
          <w:rFonts w:hint="eastAsia"/>
          <w:lang w:val="en-US" w:eastAsia="zh-CN"/>
        </w:rPr>
        <w:t>中的</w:t>
      </w:r>
      <w:r>
        <w:rPr>
          <w:rFonts w:hint="eastAsia"/>
        </w:rPr>
        <w:t>脱贫监测户之外的</w:t>
      </w:r>
      <w:r>
        <w:rPr>
          <w:rFonts w:hint="eastAsia"/>
          <w:lang w:val="en-US" w:eastAsia="zh-CN"/>
        </w:rPr>
        <w:t>其他</w:t>
      </w:r>
      <w:r>
        <w:rPr>
          <w:rFonts w:hint="eastAsia"/>
        </w:rPr>
        <w:t>脱贫户</w:t>
      </w:r>
      <w:r>
        <w:rPr>
          <w:rFonts w:hint="eastAsia"/>
          <w:lang w:eastAsia="zh-CN"/>
        </w:rPr>
        <w:t>（</w:t>
      </w:r>
      <w:r>
        <w:rPr>
          <w:rFonts w:hint="eastAsia"/>
          <w:lang w:val="en-US" w:eastAsia="zh-CN"/>
        </w:rPr>
        <w:t>7130</w:t>
      </w:r>
      <w:r>
        <w:rPr>
          <w:rFonts w:hint="eastAsia"/>
        </w:rPr>
        <w:t>户</w:t>
      </w:r>
      <w:r>
        <w:rPr>
          <w:rFonts w:hint="eastAsia"/>
          <w:lang w:eastAsia="zh-CN"/>
        </w:rPr>
        <w:t>）</w:t>
      </w:r>
      <w:r>
        <w:rPr>
          <w:rFonts w:hint="eastAsia"/>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3</w:t>
      </w:r>
      <w:r>
        <w:rPr>
          <w:rFonts w:hint="eastAsia"/>
          <w:lang w:eastAsia="zh-CN"/>
        </w:rPr>
        <w:t>、</w:t>
      </w:r>
      <w:r>
        <w:rPr>
          <w:rFonts w:hint="eastAsia"/>
        </w:rPr>
        <w:t>年人均可支配收入低于</w:t>
      </w:r>
      <w:r>
        <w:rPr>
          <w:rFonts w:hint="eastAsia"/>
          <w:lang w:val="en-US" w:eastAsia="zh-CN"/>
        </w:rPr>
        <w:t>6</w:t>
      </w:r>
      <w:r>
        <w:rPr>
          <w:rFonts w:hint="eastAsia"/>
        </w:rPr>
        <w:t>000元且有致贫风险的非建档立卡农户。</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eastAsia="仿宋_GB2312"/>
          <w:lang w:val="en-US" w:eastAsia="zh-CN"/>
        </w:rPr>
      </w:pPr>
      <w:r>
        <w:rPr>
          <w:rFonts w:hint="eastAsia"/>
          <w:lang w:val="en-US" w:eastAsia="zh-CN"/>
        </w:rPr>
        <w:t>4、因发生重大自然灾害、受新冠肺炎疫情影响或主要劳动力突发重大疾病、交通事故、水灾、火灾等偶发性事故，导致家庭主要劳动力丧失劳动能力或死亡，引发刚性支出明显超过上年度收入和收入大幅度缩减的户。</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lang w:val="en-US" w:eastAsia="zh-CN"/>
        </w:rPr>
      </w:pPr>
      <w:r>
        <w:rPr>
          <w:rFonts w:hint="eastAsia"/>
          <w:lang w:val="en-US" w:eastAsia="zh-CN"/>
        </w:rPr>
        <w:t>第一、二、三类重点监测对象通过</w:t>
      </w:r>
      <w:r>
        <w:rPr>
          <w:rFonts w:hint="eastAsia"/>
        </w:rPr>
        <w:t>全国</w:t>
      </w:r>
      <w:r>
        <w:rPr>
          <w:rFonts w:hint="eastAsia"/>
          <w:lang w:val="en-US" w:eastAsia="zh-CN"/>
        </w:rPr>
        <w:t>防返贫</w:t>
      </w:r>
      <w:r>
        <w:rPr>
          <w:rFonts w:hint="eastAsia"/>
        </w:rPr>
        <w:t>信息</w:t>
      </w:r>
      <w:r>
        <w:rPr>
          <w:rFonts w:hint="eastAsia"/>
          <w:lang w:val="en-US" w:eastAsia="zh-CN"/>
        </w:rPr>
        <w:t>监测平台调取确定，第四类重点监测对象通过农户自主申报、基层干部群众反映、行业部门数据比对等方式发现后确定。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lang w:eastAsia="zh-CN"/>
        </w:rPr>
      </w:pPr>
      <w:r>
        <w:rPr>
          <w:rFonts w:hint="eastAsia" w:ascii="黑体" w:hAnsi="黑体" w:eastAsia="黑体" w:cs="黑体"/>
        </w:rPr>
        <w:t>三、监测</w:t>
      </w:r>
      <w:r>
        <w:rPr>
          <w:rFonts w:hint="eastAsia" w:ascii="黑体" w:hAnsi="黑体" w:eastAsia="黑体" w:cs="黑体"/>
          <w:lang w:eastAsia="zh-CN"/>
        </w:rPr>
        <w:t>程序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lang w:eastAsia="zh-CN"/>
        </w:rPr>
      </w:pPr>
      <w:r>
        <w:rPr>
          <w:rFonts w:hint="eastAsia"/>
        </w:rPr>
        <w:t>县、乡、村三级联动</w:t>
      </w:r>
      <w:r>
        <w:rPr>
          <w:rFonts w:hint="eastAsia"/>
          <w:lang w:eastAsia="zh-CN"/>
        </w:rPr>
        <w:t>，</w:t>
      </w:r>
      <w:r>
        <w:rPr>
          <w:rFonts w:hint="eastAsia"/>
        </w:rPr>
        <w:t>建立从上到下、自下而上的双向监测、靶向预警的防止返贫监测和帮扶机制。将脱贫不稳定户和边缘易致贫户纳入常态化管理，结合适时入户走访，实行跟踪监测。新识别监测对象</w:t>
      </w:r>
      <w:r>
        <w:rPr>
          <w:rFonts w:hint="eastAsia"/>
          <w:lang w:val="en-US" w:eastAsia="zh-CN"/>
        </w:rPr>
        <w:t>填写《</w:t>
      </w:r>
      <w:r>
        <w:rPr>
          <w:rFonts w:hint="eastAsia"/>
        </w:rPr>
        <w:t>右玉县纳入脱贫监测户及边缘户调查审核表</w:t>
      </w:r>
      <w:r>
        <w:rPr>
          <w:rFonts w:hint="eastAsia"/>
          <w:lang w:val="en-US" w:eastAsia="zh-CN"/>
        </w:rPr>
        <w:t>》，</w:t>
      </w:r>
      <w:r>
        <w:rPr>
          <w:rFonts w:hint="eastAsia"/>
        </w:rPr>
        <w:t>履行农户申报、走访排查、民主评议、乡镇审核、县</w:t>
      </w:r>
      <w:r>
        <w:rPr>
          <w:rFonts w:hint="eastAsia"/>
          <w:lang w:val="en-US" w:eastAsia="zh-CN"/>
        </w:rPr>
        <w:t>乡村振兴</w:t>
      </w:r>
      <w:r>
        <w:rPr>
          <w:rFonts w:hint="eastAsia"/>
        </w:rPr>
        <w:t>部门确定等程序，按季度动态管理，建立工作台账，录入全国</w:t>
      </w:r>
      <w:r>
        <w:rPr>
          <w:rFonts w:hint="eastAsia"/>
          <w:lang w:val="en-US" w:eastAsia="zh-CN"/>
        </w:rPr>
        <w:t>防返贫</w:t>
      </w:r>
      <w:r>
        <w:rPr>
          <w:rFonts w:hint="eastAsia"/>
        </w:rPr>
        <w:t>信息</w:t>
      </w:r>
      <w:r>
        <w:rPr>
          <w:rFonts w:hint="eastAsia"/>
          <w:lang w:val="en-US" w:eastAsia="zh-CN"/>
        </w:rPr>
        <w:t>监测</w:t>
      </w:r>
      <w:r>
        <w:rPr>
          <w:rFonts w:hint="eastAsia"/>
        </w:rPr>
        <w:t>系统。</w:t>
      </w:r>
      <w:r>
        <w:rPr>
          <w:rFonts w:hint="eastAsia"/>
          <w:lang w:val="en-US" w:eastAsia="zh-CN"/>
        </w:rPr>
        <w:t>一般</w:t>
      </w:r>
      <w:r>
        <w:rPr>
          <w:rFonts w:hint="eastAsia"/>
        </w:rPr>
        <w:t>按照排、访、评、录、测、</w:t>
      </w:r>
      <w:r>
        <w:rPr>
          <w:rFonts w:hint="eastAsia"/>
          <w:lang w:val="en-US" w:eastAsia="zh-CN"/>
        </w:rPr>
        <w:t>销</w:t>
      </w:r>
      <w:r>
        <w:rPr>
          <w:rFonts w:hint="eastAsia"/>
        </w:rPr>
        <w:t>“</w:t>
      </w:r>
      <w:r>
        <w:rPr>
          <w:rFonts w:hint="eastAsia"/>
          <w:lang w:val="en-US" w:eastAsia="zh-CN"/>
        </w:rPr>
        <w:t>六</w:t>
      </w:r>
      <w:r>
        <w:rPr>
          <w:rFonts w:hint="eastAsia"/>
        </w:rPr>
        <w:t>步工作法”</w:t>
      </w:r>
      <w:r>
        <w:rPr>
          <w:rFonts w:hint="eastAsia"/>
          <w:lang w:eastAsia="zh-CN"/>
        </w:rPr>
        <w:t>，</w:t>
      </w:r>
      <w:r>
        <w:rPr>
          <w:rFonts w:hint="eastAsia"/>
        </w:rPr>
        <w:t>进行筛查确定、动态监测、补短销号</w:t>
      </w:r>
      <w:r>
        <w:rPr>
          <w:rFonts w:hint="eastAsia"/>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华文楷体" w:hAnsi="华文楷体" w:eastAsia="华文楷体" w:cs="华文楷体"/>
        </w:rPr>
        <w:t>第一步:精准“排”。</w:t>
      </w:r>
      <w:r>
        <w:rPr>
          <w:rFonts w:hint="eastAsia"/>
        </w:rPr>
        <w:t>由村“两委”、第一书记负责，驻村帮扶干部、网格化精细管理工作队成员参与组成工作队</w:t>
      </w:r>
      <w:r>
        <w:rPr>
          <w:rFonts w:hint="eastAsia"/>
          <w:lang w:eastAsia="zh-CN"/>
        </w:rPr>
        <w:t>，</w:t>
      </w:r>
      <w:r>
        <w:rPr>
          <w:rFonts w:hint="eastAsia"/>
        </w:rPr>
        <w:t>将“两不愁、三保障”实现情况不稳定，以及平时掌握的上访、信访、群众反映较多的困难家庭户</w:t>
      </w:r>
      <w:r>
        <w:rPr>
          <w:rFonts w:hint="eastAsia"/>
          <w:lang w:eastAsia="zh-CN"/>
        </w:rPr>
        <w:t>和自主申请户</w:t>
      </w:r>
      <w:r>
        <w:rPr>
          <w:rFonts w:hint="eastAsia"/>
        </w:rPr>
        <w:t>作为拟监测对象，集中一次入户排查。</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华文楷体" w:hAnsi="华文楷体" w:eastAsia="华文楷体" w:cs="华文楷体"/>
        </w:rPr>
        <w:t>第二步:重点“访”。</w:t>
      </w:r>
      <w:r>
        <w:rPr>
          <w:rFonts w:hint="eastAsia"/>
        </w:rPr>
        <w:t>乡镇党委、政府统筹组织力量对村</w:t>
      </w:r>
      <w:r>
        <w:rPr>
          <w:rFonts w:hint="eastAsia"/>
          <w:lang w:val="en-US" w:eastAsia="zh-CN"/>
        </w:rPr>
        <w:t>级</w:t>
      </w:r>
      <w:r>
        <w:rPr>
          <w:rFonts w:hint="eastAsia"/>
        </w:rPr>
        <w:t>上报的初步监测名单开展入户走访，重点核实“两不愁三保障”稳定实现情况，是否存在返贫、致贫风险</w:t>
      </w:r>
      <w:r>
        <w:rPr>
          <w:rFonts w:hint="eastAsia"/>
          <w:lang w:eastAsia="zh-CN"/>
        </w:rPr>
        <w:t>。</w:t>
      </w:r>
      <w:r>
        <w:rPr>
          <w:rFonts w:hint="eastAsia"/>
        </w:rPr>
        <w:t>在进村入户过程中，对新发现其他家庭生活困难的农户，按照监测对象评定标准</w:t>
      </w:r>
      <w:r>
        <w:rPr>
          <w:rFonts w:hint="eastAsia"/>
          <w:lang w:eastAsia="zh-CN"/>
        </w:rPr>
        <w:t>，</w:t>
      </w:r>
      <w:r>
        <w:rPr>
          <w:rFonts w:hint="eastAsia"/>
        </w:rPr>
        <w:t>进行核实并综合评定是否符合监测对象条件。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华文楷体" w:hAnsi="华文楷体" w:eastAsia="华文楷体" w:cs="华文楷体"/>
        </w:rPr>
        <w:t>第三步:综合“评”。</w:t>
      </w:r>
      <w:r>
        <w:rPr>
          <w:rFonts w:hint="eastAsia"/>
          <w:lang w:val="en-US" w:eastAsia="zh-CN"/>
        </w:rPr>
        <w:t>首先是</w:t>
      </w:r>
      <w:r>
        <w:rPr>
          <w:rFonts w:hint="eastAsia"/>
        </w:rPr>
        <w:t>村级初评。村委会排查汇总初步监测对象名单后，第一时间组织“村两委”干部、第一书记、驻村帮扶干部等人员召开专题会进行初评，提出初评意见报乡镇。</w:t>
      </w:r>
      <w:r>
        <w:rPr>
          <w:rFonts w:hint="eastAsia"/>
          <w:lang w:val="en-US" w:eastAsia="zh-CN"/>
        </w:rPr>
        <w:t>然后是</w:t>
      </w:r>
      <w:r>
        <w:rPr>
          <w:rFonts w:hint="eastAsia"/>
        </w:rPr>
        <w:t>乡镇复评。乡镇收到初评意见后，在统筹组织人员逐户核实基础上，组织召开专题会议进行复核，并将结果上报县</w:t>
      </w:r>
      <w:r>
        <w:rPr>
          <w:rFonts w:hint="eastAsia"/>
          <w:lang w:val="en-US" w:eastAsia="zh-CN"/>
        </w:rPr>
        <w:t>乡村振兴局</w:t>
      </w:r>
      <w:r>
        <w:rPr>
          <w:rFonts w:hint="eastAsia"/>
        </w:rPr>
        <w:t>。</w:t>
      </w:r>
      <w:r>
        <w:rPr>
          <w:rFonts w:hint="eastAsia"/>
          <w:lang w:val="en-US" w:eastAsia="zh-CN"/>
        </w:rPr>
        <w:t>最后是</w:t>
      </w:r>
      <w:r>
        <w:rPr>
          <w:rFonts w:hint="eastAsia"/>
        </w:rPr>
        <w:t>县级评定。县</w:t>
      </w:r>
      <w:r>
        <w:rPr>
          <w:rFonts w:hint="eastAsia"/>
          <w:lang w:val="en-US" w:eastAsia="zh-CN"/>
        </w:rPr>
        <w:t>乡村振兴局</w:t>
      </w:r>
      <w:r>
        <w:rPr>
          <w:rFonts w:hint="eastAsia"/>
        </w:rPr>
        <w:t>对乡镇复评结果在统筹组织力量入户走访的基础上进行综合评定，形成书面评定结果反馈乡镇，乡镇根据反馈对象名单组织村“两委”干部和驻村工作队开展动态监测，县</w:t>
      </w:r>
      <w:r>
        <w:rPr>
          <w:rFonts w:hint="eastAsia"/>
          <w:lang w:val="en-US" w:eastAsia="zh-CN"/>
        </w:rPr>
        <w:t>乡村振兴局</w:t>
      </w:r>
      <w:r>
        <w:rPr>
          <w:rFonts w:hint="eastAsia"/>
        </w:rPr>
        <w:t>据此开展暗访督查督办。</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lang w:eastAsia="zh-CN"/>
        </w:rPr>
      </w:pPr>
      <w:r>
        <w:rPr>
          <w:rFonts w:hint="eastAsia" w:ascii="华文楷体" w:hAnsi="华文楷体" w:eastAsia="华文楷体" w:cs="华文楷体"/>
        </w:rPr>
        <w:t>第四步:准确“录”。</w:t>
      </w:r>
      <w:r>
        <w:rPr>
          <w:rFonts w:hint="eastAsia"/>
        </w:rPr>
        <w:t>村两委和驻村工作队根据县</w:t>
      </w:r>
      <w:r>
        <w:rPr>
          <w:rFonts w:hint="eastAsia"/>
          <w:lang w:val="en-US" w:eastAsia="zh-CN"/>
        </w:rPr>
        <w:t>乡村振兴局</w:t>
      </w:r>
      <w:r>
        <w:rPr>
          <w:rFonts w:hint="eastAsia"/>
        </w:rPr>
        <w:t>审定的名单，入户采集新增监测对象信息，乡镇组织人员及时在国家系统中录入相关信息，分类建档管理</w:t>
      </w:r>
      <w:r>
        <w:rPr>
          <w:rFonts w:hint="eastAsia"/>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华文楷体" w:hAnsi="华文楷体" w:eastAsia="华文楷体" w:cs="华文楷体"/>
        </w:rPr>
        <w:t>第五步:</w:t>
      </w:r>
      <w:r>
        <w:rPr>
          <w:rFonts w:hint="eastAsia" w:ascii="华文楷体" w:hAnsi="华文楷体" w:eastAsia="华文楷体" w:cs="华文楷体"/>
          <w:lang w:val="en-US" w:eastAsia="zh-CN"/>
        </w:rPr>
        <w:t>定期</w:t>
      </w:r>
      <w:r>
        <w:rPr>
          <w:rFonts w:hint="eastAsia" w:ascii="华文楷体" w:hAnsi="华文楷体" w:eastAsia="华文楷体" w:cs="华文楷体"/>
        </w:rPr>
        <w:t>“测”。</w:t>
      </w:r>
      <w:r>
        <w:rPr>
          <w:rFonts w:hint="eastAsia"/>
        </w:rPr>
        <w:t>村“两委”或驻村工作队重点围绕“两不愁三保障”实现情况，</w:t>
      </w:r>
      <w:r>
        <w:rPr>
          <w:rFonts w:hint="eastAsia"/>
          <w:lang w:val="en-US" w:eastAsia="zh-CN"/>
        </w:rPr>
        <w:t>定期</w:t>
      </w:r>
      <w:r>
        <w:rPr>
          <w:rFonts w:hint="eastAsia"/>
        </w:rPr>
        <w:t>对监测对象进行动态监测，实地入户调查核实相关情况。对“两不愁三保障”出现缺项的，由村“两委”或驻村工作队及时在大数据平台上标注预警，乡镇复核后报县</w:t>
      </w:r>
      <w:r>
        <w:rPr>
          <w:rFonts w:hint="eastAsia"/>
          <w:lang w:val="en-US" w:eastAsia="zh-CN"/>
        </w:rPr>
        <w:t>乡村振兴局</w:t>
      </w:r>
      <w:r>
        <w:rPr>
          <w:rFonts w:hint="eastAsia"/>
        </w:rPr>
        <w:t>审定预警监测对象，县</w:t>
      </w:r>
      <w:r>
        <w:rPr>
          <w:rFonts w:hint="eastAsia"/>
          <w:lang w:val="en-US" w:eastAsia="zh-CN"/>
        </w:rPr>
        <w:t>乡村振兴局</w:t>
      </w:r>
      <w:r>
        <w:rPr>
          <w:rFonts w:hint="eastAsia"/>
        </w:rPr>
        <w:t>根据具体问题反馈县级行业部门，由县级行业部门会同乡镇制定具体帮扶措施，及时落实帮扶救助。</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_GB2312" w:hAnsi="Times New Roman" w:eastAsia="仿宋_GB2312" w:cs="仿宋_GB2312"/>
          <w:i w:val="0"/>
          <w:iCs w:val="0"/>
          <w:caps w:val="0"/>
          <w:color w:val="000000"/>
          <w:spacing w:val="0"/>
          <w:sz w:val="31"/>
          <w:szCs w:val="31"/>
          <w:shd w:val="clear" w:fill="FFFFFF"/>
        </w:rPr>
      </w:pPr>
      <w:r>
        <w:rPr>
          <w:rFonts w:hint="eastAsia" w:ascii="华文楷体" w:hAnsi="华文楷体" w:eastAsia="华文楷体" w:cs="华文楷体"/>
          <w:lang w:val="en-US" w:eastAsia="zh-CN"/>
        </w:rPr>
        <w:t>第六步、及时“销”。</w:t>
      </w:r>
      <w:r>
        <w:rPr>
          <w:rFonts w:ascii="仿宋_GB2312" w:hAnsi="Times New Roman" w:eastAsia="仿宋_GB2312" w:cs="仿宋_GB2312"/>
          <w:i w:val="0"/>
          <w:iCs w:val="0"/>
          <w:caps w:val="0"/>
          <w:color w:val="000000"/>
          <w:spacing w:val="0"/>
          <w:sz w:val="31"/>
          <w:szCs w:val="31"/>
          <w:shd w:val="clear" w:fill="FFFFFF"/>
        </w:rPr>
        <w:t>完成对标补短和帮扶救助后，</w:t>
      </w:r>
      <w:r>
        <w:rPr>
          <w:rFonts w:hint="default" w:ascii="仿宋_GB2312" w:hAnsi="宋体" w:eastAsia="仿宋_GB2312" w:cs="仿宋_GB2312"/>
          <w:i w:val="0"/>
          <w:iCs w:val="0"/>
          <w:caps w:val="0"/>
          <w:color w:val="000000"/>
          <w:spacing w:val="0"/>
          <w:sz w:val="31"/>
          <w:szCs w:val="31"/>
          <w:shd w:val="clear" w:fill="FFFFFF"/>
        </w:rPr>
        <w:t>村（社区）</w:t>
      </w:r>
      <w:r>
        <w:rPr>
          <w:rFonts w:hint="eastAsia" w:ascii="仿宋_GB2312" w:hAnsi="宋体" w:cs="仿宋_GB2312"/>
          <w:i w:val="0"/>
          <w:iCs w:val="0"/>
          <w:caps w:val="0"/>
          <w:color w:val="000000"/>
          <w:spacing w:val="0"/>
          <w:sz w:val="31"/>
          <w:szCs w:val="31"/>
          <w:shd w:val="clear" w:fill="FFFFFF"/>
          <w:lang w:val="en-US" w:eastAsia="zh-CN"/>
        </w:rPr>
        <w:t>填写《</w:t>
      </w:r>
      <w:r>
        <w:rPr>
          <w:rFonts w:hint="default" w:ascii="仿宋_GB2312" w:hAnsi="宋体" w:eastAsia="仿宋_GB2312" w:cs="仿宋_GB2312"/>
          <w:i w:val="0"/>
          <w:iCs w:val="0"/>
          <w:caps w:val="0"/>
          <w:color w:val="000000"/>
          <w:spacing w:val="0"/>
          <w:sz w:val="31"/>
          <w:szCs w:val="31"/>
          <w:shd w:val="clear" w:fill="FFFFFF"/>
        </w:rPr>
        <w:t>右玉县脱贫监测户及边缘户解除监测调查审核表</w:t>
      </w:r>
      <w:r>
        <w:rPr>
          <w:rFonts w:hint="eastAsia" w:ascii="仿宋_GB2312" w:hAnsi="宋体" w:cs="仿宋_GB2312"/>
          <w:i w:val="0"/>
          <w:iCs w:val="0"/>
          <w:caps w:val="0"/>
          <w:color w:val="000000"/>
          <w:spacing w:val="0"/>
          <w:sz w:val="31"/>
          <w:szCs w:val="31"/>
          <w:shd w:val="clear" w:fill="FFFFFF"/>
          <w:lang w:val="en-US" w:eastAsia="zh-CN"/>
        </w:rPr>
        <w:t>》，</w:t>
      </w:r>
      <w:r>
        <w:rPr>
          <w:rFonts w:hint="default" w:ascii="仿宋_GB2312" w:hAnsi="宋体" w:eastAsia="仿宋_GB2312" w:cs="仿宋_GB2312"/>
          <w:i w:val="0"/>
          <w:iCs w:val="0"/>
          <w:caps w:val="0"/>
          <w:color w:val="000000"/>
          <w:spacing w:val="0"/>
          <w:sz w:val="31"/>
          <w:szCs w:val="31"/>
          <w:shd w:val="clear" w:fill="FFFFFF"/>
        </w:rPr>
        <w:t>向</w:t>
      </w:r>
      <w:r>
        <w:rPr>
          <w:rFonts w:hint="eastAsia" w:ascii="仿宋_GB2312" w:hAnsi="宋体" w:eastAsia="仿宋_GB2312" w:cs="仿宋_GB2312"/>
          <w:i w:val="0"/>
          <w:iCs w:val="0"/>
          <w:caps w:val="0"/>
          <w:color w:val="000000"/>
          <w:spacing w:val="0"/>
          <w:sz w:val="31"/>
          <w:szCs w:val="31"/>
          <w:shd w:val="clear" w:fill="FFFFFF"/>
          <w:lang w:val="en-US" w:eastAsia="zh-CN"/>
        </w:rPr>
        <w:t>乡</w:t>
      </w:r>
      <w:r>
        <w:rPr>
          <w:rFonts w:hint="default" w:ascii="仿宋_GB2312" w:hAnsi="宋体" w:eastAsia="仿宋_GB2312" w:cs="仿宋_GB2312"/>
          <w:i w:val="0"/>
          <w:iCs w:val="0"/>
          <w:caps w:val="0"/>
          <w:color w:val="000000"/>
          <w:spacing w:val="0"/>
          <w:sz w:val="31"/>
          <w:szCs w:val="31"/>
          <w:shd w:val="clear" w:fill="FFFFFF"/>
        </w:rPr>
        <w:t>镇提出</w:t>
      </w:r>
      <w:r>
        <w:rPr>
          <w:rFonts w:hint="default" w:ascii="仿宋_GB2312" w:hAnsi="Times New Roman" w:eastAsia="仿宋_GB2312" w:cs="仿宋_GB2312"/>
          <w:i w:val="0"/>
          <w:iCs w:val="0"/>
          <w:caps w:val="0"/>
          <w:color w:val="000000"/>
          <w:spacing w:val="0"/>
          <w:sz w:val="31"/>
          <w:szCs w:val="31"/>
          <w:shd w:val="clear" w:fill="FFFFFF"/>
        </w:rPr>
        <w:t>大数据平台销号申请；</w:t>
      </w:r>
      <w:r>
        <w:rPr>
          <w:rFonts w:hint="eastAsia"/>
          <w:lang w:val="en-US" w:eastAsia="zh-CN"/>
        </w:rPr>
        <w:t>县级</w:t>
      </w:r>
      <w:r>
        <w:rPr>
          <w:rFonts w:hint="default" w:ascii="仿宋_GB2312" w:hAnsi="Times New Roman" w:eastAsia="仿宋_GB2312" w:cs="仿宋_GB2312"/>
          <w:i w:val="0"/>
          <w:iCs w:val="0"/>
          <w:caps w:val="0"/>
          <w:color w:val="000000"/>
          <w:spacing w:val="0"/>
          <w:sz w:val="31"/>
          <w:szCs w:val="31"/>
          <w:shd w:val="clear" w:fill="FFFFFF"/>
        </w:rPr>
        <w:t>确认后，</w:t>
      </w:r>
      <w:r>
        <w:rPr>
          <w:rFonts w:hint="eastAsia" w:ascii="仿宋_GB2312" w:hAnsi="宋体" w:eastAsia="仿宋_GB2312" w:cs="仿宋_GB2312"/>
          <w:i w:val="0"/>
          <w:iCs w:val="0"/>
          <w:caps w:val="0"/>
          <w:color w:val="000000"/>
          <w:spacing w:val="0"/>
          <w:sz w:val="31"/>
          <w:szCs w:val="31"/>
          <w:shd w:val="clear" w:fill="FFFFFF"/>
          <w:lang w:val="en-US" w:eastAsia="zh-CN"/>
        </w:rPr>
        <w:t>乡</w:t>
      </w:r>
      <w:r>
        <w:rPr>
          <w:rFonts w:hint="default" w:ascii="仿宋_GB2312" w:hAnsi="宋体" w:eastAsia="仿宋_GB2312" w:cs="仿宋_GB2312"/>
          <w:i w:val="0"/>
          <w:iCs w:val="0"/>
          <w:caps w:val="0"/>
          <w:color w:val="000000"/>
          <w:spacing w:val="0"/>
          <w:sz w:val="31"/>
          <w:szCs w:val="31"/>
          <w:shd w:val="clear" w:fill="FFFFFF"/>
        </w:rPr>
        <w:t>镇</w:t>
      </w:r>
      <w:r>
        <w:rPr>
          <w:rFonts w:hint="default" w:ascii="仿宋_GB2312" w:hAnsi="Times New Roman" w:eastAsia="仿宋_GB2312" w:cs="仿宋_GB2312"/>
          <w:i w:val="0"/>
          <w:iCs w:val="0"/>
          <w:caps w:val="0"/>
          <w:color w:val="000000"/>
          <w:spacing w:val="0"/>
          <w:sz w:val="31"/>
          <w:szCs w:val="31"/>
          <w:shd w:val="clear" w:fill="FFFFFF"/>
        </w:rPr>
        <w:t>在大数据平台中</w:t>
      </w:r>
      <w:r>
        <w:rPr>
          <w:rFonts w:hint="eastAsia" w:ascii="仿宋_GB2312" w:cs="仿宋_GB2312"/>
          <w:i w:val="0"/>
          <w:iCs w:val="0"/>
          <w:caps w:val="0"/>
          <w:color w:val="000000"/>
          <w:spacing w:val="0"/>
          <w:sz w:val="31"/>
          <w:szCs w:val="31"/>
          <w:shd w:val="clear" w:fill="FFFFFF"/>
          <w:lang w:val="en-US" w:eastAsia="zh-CN"/>
        </w:rPr>
        <w:t>及时</w:t>
      </w:r>
      <w:r>
        <w:rPr>
          <w:rFonts w:hint="default" w:ascii="仿宋_GB2312" w:hAnsi="Times New Roman" w:eastAsia="仿宋_GB2312" w:cs="仿宋_GB2312"/>
          <w:i w:val="0"/>
          <w:iCs w:val="0"/>
          <w:caps w:val="0"/>
          <w:color w:val="000000"/>
          <w:spacing w:val="0"/>
          <w:sz w:val="31"/>
          <w:szCs w:val="31"/>
          <w:shd w:val="clear" w:fill="FFFFFF"/>
        </w:rPr>
        <w:t>销号。</w:t>
      </w:r>
    </w:p>
    <w:p>
      <w:pPr>
        <w:keepNext w:val="0"/>
        <w:keepLines w:val="0"/>
        <w:pageBreakBefore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预警、管理和帮扶办法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华文楷体" w:hAnsi="华文楷体" w:eastAsia="华文楷体" w:cs="华文楷体"/>
          <w:lang w:val="en-US" w:eastAsia="zh-CN"/>
        </w:rPr>
      </w:pPr>
      <w:r>
        <w:rPr>
          <w:rFonts w:hint="eastAsia" w:ascii="华文楷体" w:hAnsi="华文楷体" w:eastAsia="华文楷体" w:cs="华文楷体"/>
          <w:lang w:val="en-US" w:eastAsia="zh-CN"/>
        </w:rPr>
        <w:t>（一）分级预警</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设立五级监测预警体系，实行分级预警制度。</w:t>
      </w:r>
      <w:r>
        <w:rPr>
          <w:rFonts w:hint="eastAsia"/>
          <w:lang w:eastAsia="zh-CN"/>
        </w:rPr>
        <w:t>各</w:t>
      </w:r>
      <w:r>
        <w:rPr>
          <w:rFonts w:hint="eastAsia"/>
        </w:rPr>
        <w:t>乡镇根据预警级别，以村为单位，逐户建立纸质档案，规范进行管理。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lang w:eastAsia="zh-CN"/>
        </w:rPr>
      </w:pPr>
      <w:r>
        <w:rPr>
          <w:rFonts w:hint="eastAsia"/>
        </w:rPr>
        <w:t>Ⅰ级监测对象。预估今年家庭人均纯收入低于</w:t>
      </w:r>
      <w:r>
        <w:rPr>
          <w:rFonts w:hint="eastAsia"/>
          <w:lang w:val="en-US" w:eastAsia="zh-CN"/>
        </w:rPr>
        <w:t>6</w:t>
      </w:r>
      <w:r>
        <w:rPr>
          <w:rFonts w:hint="eastAsia"/>
        </w:rPr>
        <w:t>000元(不含)或因自然灾害、突发疾病、意外事故等原因造成生活困难，“两不愁三保障”任意一项有可能不达标的</w:t>
      </w:r>
      <w:r>
        <w:rPr>
          <w:rFonts w:hint="eastAsia"/>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eastAsia="仿宋_GB2312"/>
          <w:lang w:eastAsia="zh-CN"/>
        </w:rPr>
      </w:pPr>
      <w:r>
        <w:rPr>
          <w:rFonts w:hint="eastAsia"/>
        </w:rPr>
        <w:t>Ⅱ级监测对象。全国</w:t>
      </w:r>
      <w:r>
        <w:rPr>
          <w:rFonts w:hint="eastAsia"/>
          <w:lang w:val="en-US" w:eastAsia="zh-CN"/>
        </w:rPr>
        <w:t>防返贫</w:t>
      </w:r>
      <w:r>
        <w:rPr>
          <w:rFonts w:hint="eastAsia"/>
        </w:rPr>
        <w:t>信息</w:t>
      </w:r>
      <w:r>
        <w:rPr>
          <w:rFonts w:hint="eastAsia"/>
          <w:lang w:val="en-US" w:eastAsia="zh-CN"/>
        </w:rPr>
        <w:t>监测</w:t>
      </w:r>
      <w:r>
        <w:rPr>
          <w:rFonts w:hint="eastAsia"/>
        </w:rPr>
        <w:t>系统中</w:t>
      </w:r>
      <w:r>
        <w:rPr>
          <w:rFonts w:hint="eastAsia"/>
          <w:lang w:eastAsia="zh-CN"/>
        </w:rPr>
        <w:t>已进行解除风险</w:t>
      </w:r>
      <w:r>
        <w:rPr>
          <w:rFonts w:hint="eastAsia"/>
        </w:rPr>
        <w:t>标注的脱贫监测户和边缘户</w:t>
      </w:r>
      <w:r>
        <w:rPr>
          <w:rFonts w:hint="eastAsia"/>
          <w:lang w:eastAsia="zh-CN"/>
        </w:rPr>
        <w:t>，或为</w:t>
      </w:r>
      <w:r>
        <w:rPr>
          <w:rFonts w:hint="eastAsia"/>
        </w:rPr>
        <w:t>无创业能力，不能就业，稳定收入仅来源于转移性收入的兜底脱贫户</w:t>
      </w:r>
      <w:r>
        <w:rPr>
          <w:rFonts w:hint="eastAsia"/>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eastAsia="仿宋_GB2312"/>
          <w:lang w:eastAsia="zh-CN"/>
        </w:rPr>
      </w:pPr>
      <w:r>
        <w:rPr>
          <w:rFonts w:hint="eastAsia"/>
        </w:rPr>
        <w:t>Ⅲ级监测对象。“两不愁三保障”均达标，预估当年家庭人均纯收入超过</w:t>
      </w:r>
      <w:r>
        <w:rPr>
          <w:rFonts w:hint="eastAsia"/>
          <w:lang w:val="en-US" w:eastAsia="zh-CN"/>
        </w:rPr>
        <w:t>6</w:t>
      </w:r>
      <w:r>
        <w:rPr>
          <w:rFonts w:hint="eastAsia"/>
        </w:rPr>
        <w:t>000元(含)但低于10000元(不含)的脱贫户</w:t>
      </w:r>
      <w:r>
        <w:rPr>
          <w:rFonts w:hint="eastAsia"/>
          <w:lang w:eastAsia="zh-CN"/>
        </w:rPr>
        <w:t>，</w:t>
      </w:r>
      <w:r>
        <w:rPr>
          <w:rFonts w:hint="eastAsia"/>
          <w:lang w:val="en-US" w:eastAsia="zh-CN"/>
        </w:rPr>
        <w:t>或</w:t>
      </w:r>
      <w:r>
        <w:rPr>
          <w:rFonts w:hint="eastAsia"/>
        </w:rPr>
        <w:t>为家庭年人均纯收入略高于当年脱贫标准但低于</w:t>
      </w:r>
      <w:r>
        <w:rPr>
          <w:rFonts w:hint="eastAsia"/>
          <w:lang w:val="en-US" w:eastAsia="zh-CN"/>
        </w:rPr>
        <w:t>8</w:t>
      </w:r>
      <w:r>
        <w:rPr>
          <w:rFonts w:hint="eastAsia"/>
        </w:rPr>
        <w:t>000元，或同期家庭收入明显减少、因特殊原因出现较大数额刚性支出、部分家庭成员暂时丧失劳动能力，收入来源不稳定的农户</w:t>
      </w:r>
      <w:r>
        <w:rPr>
          <w:rFonts w:hint="eastAsia"/>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eastAsia="仿宋_GB2312"/>
          <w:lang w:eastAsia="zh-CN"/>
        </w:rPr>
      </w:pPr>
      <w:r>
        <w:rPr>
          <w:rFonts w:hint="eastAsia"/>
        </w:rPr>
        <w:t>Ⅳ级监测对象。为家庭年人均纯收入高于6000元，家庭成员健康状况良好，但发展能力一般，内生发展动力不足，创业思路不明确的农户</w:t>
      </w:r>
      <w:r>
        <w:rPr>
          <w:rFonts w:hint="eastAsia"/>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Ⅴ级监测对象。“两不愁三保障”均达标，预估当年家庭人均纯收入超过10000元(含)的脱贫户。有劳动能力，发展意愿强烈，有思路、有干劲，收入相对稳定，后续发展良好的农户。</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华文楷体" w:hAnsi="华文楷体" w:eastAsia="华文楷体" w:cs="华文楷体"/>
          <w:lang w:val="en-US" w:eastAsia="zh-CN"/>
        </w:rPr>
      </w:pPr>
      <w:r>
        <w:rPr>
          <w:rFonts w:hint="eastAsia" w:ascii="华文楷体" w:hAnsi="华文楷体" w:eastAsia="华文楷体" w:cs="华文楷体"/>
          <w:lang w:val="en-US" w:eastAsia="zh-CN"/>
        </w:rPr>
        <w:t>（二）分类管理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eastAsia="仿宋_GB2312"/>
          <w:lang w:val="en-US" w:eastAsia="zh-CN"/>
        </w:rPr>
      </w:pPr>
      <w:r>
        <w:rPr>
          <w:rFonts w:hint="eastAsia"/>
        </w:rPr>
        <w:t>Ⅰ</w:t>
      </w:r>
      <w:r>
        <w:rPr>
          <w:rFonts w:hint="eastAsia"/>
          <w:lang w:eastAsia="zh-CN"/>
        </w:rPr>
        <w:t>级</w:t>
      </w:r>
      <w:r>
        <w:rPr>
          <w:rFonts w:hint="eastAsia"/>
        </w:rPr>
        <w:t>监测对象在全国</w:t>
      </w:r>
      <w:r>
        <w:rPr>
          <w:rFonts w:hint="eastAsia"/>
          <w:lang w:val="en-US" w:eastAsia="zh-CN"/>
        </w:rPr>
        <w:t>防返贫</w:t>
      </w:r>
      <w:r>
        <w:rPr>
          <w:rFonts w:hint="eastAsia"/>
        </w:rPr>
        <w:t>信息</w:t>
      </w:r>
      <w:r>
        <w:rPr>
          <w:rFonts w:hint="eastAsia"/>
          <w:lang w:val="en-US" w:eastAsia="zh-CN"/>
        </w:rPr>
        <w:t>监测</w:t>
      </w:r>
      <w:r>
        <w:rPr>
          <w:rFonts w:hint="eastAsia"/>
        </w:rPr>
        <w:t>系统中录入为新增边缘户或标记为脱贫监测户;Ⅱ级</w:t>
      </w:r>
      <w:r>
        <w:rPr>
          <w:rFonts w:hint="eastAsia"/>
          <w:lang w:eastAsia="zh-CN"/>
        </w:rPr>
        <w:t>、</w:t>
      </w:r>
      <w:r>
        <w:rPr>
          <w:rFonts w:hint="eastAsia"/>
        </w:rPr>
        <w:t>Ⅲ级</w:t>
      </w:r>
      <w:r>
        <w:rPr>
          <w:rFonts w:hint="eastAsia"/>
          <w:lang w:eastAsia="zh-CN"/>
        </w:rPr>
        <w:t>、</w:t>
      </w:r>
      <w:r>
        <w:rPr>
          <w:rFonts w:hint="eastAsia"/>
        </w:rPr>
        <w:t>Ⅳ级监测对象由乡镇、村同时建立台账管理;Ⅴ级监测对象由各村自行建立台账管理。Ⅰ</w:t>
      </w:r>
      <w:r>
        <w:rPr>
          <w:rFonts w:hint="eastAsia"/>
          <w:lang w:eastAsia="zh-CN"/>
        </w:rPr>
        <w:t>级</w:t>
      </w:r>
      <w:r>
        <w:rPr>
          <w:rFonts w:hint="eastAsia"/>
        </w:rPr>
        <w:t>监测对象</w:t>
      </w:r>
      <w:r>
        <w:rPr>
          <w:rFonts w:hint="eastAsia"/>
          <w:lang w:val="en-US" w:eastAsia="zh-CN"/>
        </w:rPr>
        <w:t>每月监测一次，监测数据及时录入</w:t>
      </w:r>
      <w:r>
        <w:rPr>
          <w:rFonts w:hint="eastAsia"/>
        </w:rPr>
        <w:t>全国</w:t>
      </w:r>
      <w:r>
        <w:rPr>
          <w:rFonts w:hint="eastAsia"/>
          <w:lang w:val="en-US" w:eastAsia="zh-CN"/>
        </w:rPr>
        <w:t>防返贫</w:t>
      </w:r>
      <w:r>
        <w:rPr>
          <w:rFonts w:hint="eastAsia"/>
        </w:rPr>
        <w:t>信息</w:t>
      </w:r>
      <w:r>
        <w:rPr>
          <w:rFonts w:hint="eastAsia"/>
          <w:lang w:val="en-US" w:eastAsia="zh-CN"/>
        </w:rPr>
        <w:t>监测</w:t>
      </w:r>
      <w:r>
        <w:rPr>
          <w:rFonts w:hint="eastAsia"/>
        </w:rPr>
        <w:t>系统</w:t>
      </w:r>
      <w:r>
        <w:rPr>
          <w:rFonts w:hint="eastAsia"/>
          <w:lang w:val="en-US" w:eastAsia="zh-CN"/>
        </w:rPr>
        <w:t>；</w:t>
      </w:r>
      <w:r>
        <w:rPr>
          <w:rFonts w:hint="eastAsia"/>
        </w:rPr>
        <w:t>Ⅱ级</w:t>
      </w:r>
      <w:r>
        <w:rPr>
          <w:rFonts w:hint="eastAsia"/>
          <w:lang w:eastAsia="zh-CN"/>
        </w:rPr>
        <w:t>、</w:t>
      </w:r>
      <w:r>
        <w:rPr>
          <w:rFonts w:hint="eastAsia"/>
        </w:rPr>
        <w:t>Ⅲ级</w:t>
      </w:r>
      <w:r>
        <w:rPr>
          <w:rFonts w:hint="eastAsia"/>
          <w:lang w:eastAsia="zh-CN"/>
        </w:rPr>
        <w:t>、</w:t>
      </w:r>
      <w:r>
        <w:rPr>
          <w:rFonts w:hint="eastAsia"/>
        </w:rPr>
        <w:t>Ⅳ级监测对象</w:t>
      </w:r>
      <w:r>
        <w:rPr>
          <w:rFonts w:hint="eastAsia"/>
          <w:lang w:val="en-US" w:eastAsia="zh-CN"/>
        </w:rPr>
        <w:t>每季度监测一次，</w:t>
      </w:r>
      <w:r>
        <w:rPr>
          <w:rFonts w:hint="eastAsia"/>
        </w:rPr>
        <w:t>Ⅴ级监测对象</w:t>
      </w:r>
      <w:r>
        <w:rPr>
          <w:rFonts w:hint="eastAsia"/>
          <w:lang w:val="en-US" w:eastAsia="zh-CN"/>
        </w:rPr>
        <w:t>每半年监测一次，监测数据定期综合分析。</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华文楷体" w:hAnsi="华文楷体" w:eastAsia="华文楷体" w:cs="华文楷体"/>
        </w:rPr>
      </w:pPr>
      <w:r>
        <w:rPr>
          <w:rFonts w:hint="eastAsia" w:ascii="华文楷体" w:hAnsi="华文楷体" w:eastAsia="华文楷体" w:cs="华文楷体"/>
        </w:rPr>
        <w:t>(三)分类帮扶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仿宋_GB2312"/>
          <w:i w:val="0"/>
          <w:iCs w:val="0"/>
          <w:caps w:val="0"/>
          <w:color w:val="000000"/>
          <w:spacing w:val="0"/>
          <w:sz w:val="31"/>
          <w:szCs w:val="31"/>
          <w:shd w:val="clear" w:fill="FFFFFF"/>
          <w:lang w:val="en-US" w:eastAsia="zh-CN"/>
        </w:rPr>
      </w:pPr>
      <w:r>
        <w:rPr>
          <w:rFonts w:hint="eastAsia"/>
          <w:lang w:val="en-US" w:eastAsia="zh-CN"/>
        </w:rPr>
        <w:t>在</w:t>
      </w:r>
      <w:r>
        <w:rPr>
          <w:rFonts w:hint="eastAsia"/>
        </w:rPr>
        <w:t>明确帮扶责任人</w:t>
      </w:r>
      <w:r>
        <w:rPr>
          <w:rFonts w:hint="eastAsia"/>
          <w:lang w:val="en-US" w:eastAsia="zh-CN"/>
        </w:rPr>
        <w:t>的基础上</w:t>
      </w:r>
      <w:r>
        <w:rPr>
          <w:rFonts w:hint="eastAsia"/>
        </w:rPr>
        <w:t>，根据分级</w:t>
      </w:r>
      <w:r>
        <w:rPr>
          <w:rFonts w:hint="eastAsia"/>
          <w:lang w:val="en-US" w:eastAsia="zh-CN"/>
        </w:rPr>
        <w:t>情况</w:t>
      </w:r>
      <w:r>
        <w:rPr>
          <w:rFonts w:hint="eastAsia"/>
          <w:lang w:eastAsia="zh-CN"/>
        </w:rPr>
        <w:t>，</w:t>
      </w:r>
      <w:r>
        <w:rPr>
          <w:rFonts w:hint="eastAsia"/>
        </w:rPr>
        <w:t>按照缺什么、补什么的原则，分类</w:t>
      </w:r>
      <w:r>
        <w:rPr>
          <w:rFonts w:hint="eastAsia"/>
          <w:lang w:val="en-US" w:eastAsia="zh-CN"/>
        </w:rPr>
        <w:t>制定</w:t>
      </w:r>
      <w:r>
        <w:rPr>
          <w:rFonts w:hint="eastAsia"/>
        </w:rPr>
        <w:t>帮扶措施</w:t>
      </w:r>
      <w:r>
        <w:rPr>
          <w:rFonts w:hint="eastAsia" w:ascii="仿宋_GB2312" w:eastAsia="仿宋_GB2312" w:cs="仿宋_GB2312"/>
          <w:i w:val="0"/>
          <w:iCs w:val="0"/>
          <w:caps w:val="0"/>
          <w:color w:val="000000"/>
          <w:spacing w:val="0"/>
          <w:sz w:val="31"/>
          <w:szCs w:val="31"/>
          <w:shd w:val="clear" w:fill="FFFFFF"/>
          <w:lang w:eastAsia="zh-CN"/>
        </w:rPr>
        <w:t>，</w:t>
      </w:r>
      <w:r>
        <w:rPr>
          <w:rFonts w:hint="default" w:ascii="仿宋_GB2312" w:hAnsi="Times New Roman" w:eastAsia="仿宋_GB2312" w:cs="仿宋_GB2312"/>
          <w:i w:val="0"/>
          <w:iCs w:val="0"/>
          <w:caps w:val="0"/>
          <w:color w:val="000000"/>
          <w:spacing w:val="0"/>
          <w:sz w:val="31"/>
          <w:szCs w:val="31"/>
          <w:shd w:val="clear" w:fill="FFFFFF"/>
        </w:rPr>
        <w:t>限时完成补短帮扶</w:t>
      </w:r>
      <w:r>
        <w:rPr>
          <w:rFonts w:hint="eastAsia"/>
        </w:rPr>
        <w:t>，防止由濒临贫困转变为返贫或新增贫困</w:t>
      </w:r>
      <w:r>
        <w:rPr>
          <w:rFonts w:hint="default" w:ascii="仿宋_GB2312" w:hAnsi="Times New Roman" w:eastAsia="仿宋_GB2312" w:cs="仿宋_GB2312"/>
          <w:i w:val="0"/>
          <w:iCs w:val="0"/>
          <w:caps w:val="0"/>
          <w:color w:val="000000"/>
          <w:spacing w:val="0"/>
          <w:sz w:val="31"/>
          <w:szCs w:val="31"/>
          <w:shd w:val="clear" w:fill="FFFFFF"/>
        </w:rPr>
        <w:t>。</w:t>
      </w:r>
      <w:r>
        <w:rPr>
          <w:rFonts w:hint="eastAsia" w:ascii="仿宋_GB2312" w:cs="仿宋_GB2312"/>
          <w:i w:val="0"/>
          <w:iCs w:val="0"/>
          <w:caps w:val="0"/>
          <w:color w:val="000000"/>
          <w:spacing w:val="0"/>
          <w:sz w:val="31"/>
          <w:szCs w:val="31"/>
          <w:shd w:val="clear" w:fill="FFFFFF"/>
          <w:lang w:val="en-US" w:eastAsia="zh-CN"/>
        </w:rPr>
        <w:t>其中：</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Ⅰ级监测对象以“扶”为主，争取政策帮扶最大化和精准化；</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Ⅱ级监测对象以“帮”为主，采取社会救助、临时补助、公益性岗位就业等形式帮助其减轻家庭负担；</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Ⅲ级监测对象以“带”为主，通过产业项目带动、金融扶贫重点帮扶；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Ⅳ级监测对象以“引”为主，重点在扶志、扶智方面加强教育引导，加强技能、创业培训，实现稳定就业；</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Ⅴ级监测对象以“提”为主，重点制定激励提升措施，实现稳定增加收入，并带动更多农户积极发展。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rPr>
        <w:t>对实施五级分类帮扶后，仍然解决不了收入达标和“两不愁、三保障”问题的，由县级层面通过帮扶救助资金兜底解决。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华文楷体" w:hAnsi="华文楷体" w:eastAsia="华文楷体" w:cs="华文楷体"/>
          <w:lang w:val="en-US" w:eastAsia="zh-CN"/>
        </w:rPr>
      </w:pPr>
      <w:r>
        <w:rPr>
          <w:rFonts w:hint="eastAsia" w:ascii="华文楷体" w:hAnsi="华文楷体" w:eastAsia="华文楷体" w:cs="华文楷体"/>
          <w:lang w:val="en-US" w:eastAsia="zh-CN"/>
        </w:rPr>
        <w:t>（四）细化帮扶措施</w:t>
      </w:r>
    </w:p>
    <w:p>
      <w:pPr>
        <w:keepNext w:val="0"/>
        <w:keepLines w:val="0"/>
        <w:pageBreakBefore w:val="0"/>
        <w:widowControl w:val="0"/>
        <w:kinsoku/>
        <w:wordWrap/>
        <w:overflowPunct/>
        <w:topLinePunct w:val="0"/>
        <w:autoSpaceDE/>
        <w:autoSpaceDN/>
        <w:bidi w:val="0"/>
        <w:adjustRightInd/>
        <w:snapToGrid/>
        <w:spacing w:line="660" w:lineRule="exact"/>
        <w:ind w:leftChars="0"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楷体" w:hAnsi="楷体" w:eastAsia="楷体" w:cs="楷体"/>
          <w:sz w:val="32"/>
          <w:szCs w:val="32"/>
          <w:lang w:val="en-US" w:eastAsia="zh-CN"/>
        </w:rPr>
        <w:t>1.强化产业项目保障。</w:t>
      </w:r>
      <w:r>
        <w:rPr>
          <w:rFonts w:hint="default" w:ascii="仿宋_GB2312" w:hAnsi="仿宋_GB2312" w:eastAsia="仿宋_GB2312" w:cs="仿宋_GB2312"/>
          <w:sz w:val="32"/>
          <w:szCs w:val="32"/>
          <w:lang w:val="en-US" w:eastAsia="zh-CN"/>
        </w:rPr>
        <w:t>对具备产业发展条件、</w:t>
      </w:r>
      <w:r>
        <w:rPr>
          <w:rFonts w:hint="eastAsia" w:ascii="仿宋_GB2312" w:hAnsi="仿宋_GB2312" w:eastAsia="仿宋_GB2312" w:cs="仿宋_GB2312"/>
          <w:sz w:val="32"/>
          <w:szCs w:val="32"/>
          <w:lang w:val="en-US" w:eastAsia="zh-CN"/>
        </w:rPr>
        <w:t>故土难离</w:t>
      </w:r>
      <w:r>
        <w:rPr>
          <w:rFonts w:hint="default" w:ascii="仿宋_GB2312" w:hAnsi="仿宋_GB2312" w:eastAsia="仿宋_GB2312" w:cs="仿宋_GB2312"/>
          <w:sz w:val="32"/>
          <w:szCs w:val="32"/>
          <w:lang w:val="en-US" w:eastAsia="zh-CN"/>
        </w:rPr>
        <w:t>、主要收入来源为生产经营性收入的监测对象，落实</w:t>
      </w:r>
      <w:r>
        <w:rPr>
          <w:rFonts w:hint="eastAsia" w:ascii="仿宋_GB2312" w:hAnsi="仿宋_GB2312" w:cs="仿宋_GB2312"/>
          <w:sz w:val="32"/>
          <w:szCs w:val="32"/>
          <w:lang w:val="en-US" w:eastAsia="zh-CN"/>
        </w:rPr>
        <w:t>生态羊全产业链、小杂粮</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产业</w:t>
      </w:r>
      <w:r>
        <w:rPr>
          <w:rFonts w:hint="eastAsia" w:ascii="仿宋_GB2312" w:hAnsi="仿宋_GB2312" w:eastAsia="仿宋_GB2312" w:cs="仿宋_GB2312"/>
          <w:sz w:val="32"/>
          <w:szCs w:val="32"/>
          <w:lang w:val="en-US" w:eastAsia="zh-CN"/>
        </w:rPr>
        <w:t>项目</w:t>
      </w:r>
      <w:r>
        <w:rPr>
          <w:rFonts w:hint="default" w:ascii="仿宋_GB2312" w:hAnsi="仿宋_GB2312" w:eastAsia="仿宋_GB2312" w:cs="仿宋_GB2312"/>
          <w:sz w:val="32"/>
          <w:szCs w:val="32"/>
          <w:lang w:val="en-US" w:eastAsia="zh-CN"/>
        </w:rPr>
        <w:t>帮扶政策</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对自愿发展到户产业项目的监测对象，根据发展生产资金需求给</w:t>
      </w:r>
      <w:r>
        <w:rPr>
          <w:rFonts w:hint="eastAsia" w:ascii="仿宋_GB2312" w:hAnsi="仿宋_GB2312" w:eastAsia="仿宋_GB2312" w:cs="仿宋_GB2312"/>
          <w:sz w:val="32"/>
          <w:szCs w:val="32"/>
          <w:lang w:val="en-US" w:eastAsia="zh-CN"/>
        </w:rPr>
        <w:t>予</w:t>
      </w:r>
      <w:r>
        <w:rPr>
          <w:rFonts w:hint="default" w:ascii="仿宋_GB2312" w:hAnsi="仿宋_GB2312" w:eastAsia="仿宋_GB2312" w:cs="仿宋_GB2312"/>
          <w:sz w:val="32"/>
          <w:szCs w:val="32"/>
          <w:lang w:val="en-US" w:eastAsia="zh-CN"/>
        </w:rPr>
        <w:t>小额信贷支持</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同时做好风险防控，稳定增加生产经营性收入</w:t>
      </w:r>
      <w:r>
        <w:rPr>
          <w:rFonts w:hint="eastAsia" w:ascii="仿宋_GB2312" w:hAnsi="仿宋_GB2312" w:eastAsia="仿宋_GB2312" w:cs="仿宋_GB2312"/>
          <w:sz w:val="32"/>
          <w:szCs w:val="32"/>
          <w:lang w:val="en-US" w:eastAsia="zh-CN"/>
        </w:rPr>
        <w:t>；积极</w:t>
      </w:r>
      <w:r>
        <w:rPr>
          <w:rFonts w:hint="default" w:ascii="仿宋_GB2312" w:hAnsi="仿宋_GB2312" w:eastAsia="仿宋_GB2312" w:cs="仿宋_GB2312"/>
          <w:sz w:val="32"/>
          <w:szCs w:val="32"/>
          <w:lang w:val="en-US" w:eastAsia="zh-CN"/>
        </w:rPr>
        <w:t>鼓励县内各经营主体、扶贫企业车间、能人大户带动监测对象发展生产，实现稳定增收</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（责任单位：县农业农村局、</w:t>
      </w:r>
      <w:r>
        <w:rPr>
          <w:rFonts w:hint="eastAsia" w:ascii="仿宋_GB2312" w:eastAsia="仿宋_GB2312"/>
          <w:b/>
          <w:bCs/>
          <w:sz w:val="32"/>
          <w:szCs w:val="32"/>
          <w:lang w:val="en-US" w:eastAsia="zh-CN"/>
        </w:rPr>
        <w:t>县林业局、</w:t>
      </w:r>
      <w:r>
        <w:rPr>
          <w:rFonts w:hint="eastAsia" w:ascii="仿宋_GB2312" w:hAnsi="仿宋_GB2312" w:eastAsia="仿宋_GB2312" w:cs="仿宋_GB2312"/>
          <w:b/>
          <w:bCs/>
          <w:sz w:val="32"/>
          <w:szCs w:val="32"/>
          <w:lang w:val="en-US" w:eastAsia="zh-CN"/>
        </w:rPr>
        <w:t>各乡镇等）</w:t>
      </w:r>
    </w:p>
    <w:p>
      <w:pPr>
        <w:keepNext w:val="0"/>
        <w:keepLines w:val="0"/>
        <w:pageBreakBefore w:val="0"/>
        <w:widowControl w:val="0"/>
        <w:numPr>
          <w:ilvl w:val="0"/>
          <w:numId w:val="0"/>
        </w:numPr>
        <w:kinsoku/>
        <w:wordWrap/>
        <w:overflowPunct/>
        <w:topLinePunct w:val="0"/>
        <w:autoSpaceDE/>
        <w:autoSpaceDN/>
        <w:bidi w:val="0"/>
        <w:adjustRightInd/>
        <w:snapToGrid/>
        <w:spacing w:line="660" w:lineRule="exact"/>
        <w:ind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cs="仿宋_GB2312"/>
          <w:b/>
          <w:bCs/>
          <w:kern w:val="2"/>
          <w:sz w:val="32"/>
          <w:szCs w:val="32"/>
          <w:lang w:val="en-US" w:eastAsia="zh-CN" w:bidi="ar-SA"/>
        </w:rPr>
        <w:t>（1）</w:t>
      </w:r>
      <w:r>
        <w:rPr>
          <w:rFonts w:hint="eastAsia" w:ascii="仿宋_GB2312" w:hAnsi="仿宋_GB2312" w:eastAsia="仿宋_GB2312" w:cs="仿宋_GB2312"/>
          <w:b/>
          <w:bCs/>
          <w:kern w:val="2"/>
          <w:sz w:val="32"/>
          <w:szCs w:val="32"/>
          <w:lang w:val="en-US" w:eastAsia="zh-CN" w:bidi="ar-SA"/>
        </w:rPr>
        <w:t>光伏产业。</w:t>
      </w:r>
      <w:r>
        <w:rPr>
          <w:rFonts w:hint="eastAsia" w:ascii="仿宋_GB2312" w:hAnsi="仿宋_GB2312" w:eastAsia="仿宋_GB2312" w:cs="仿宋_GB2312"/>
          <w:b w:val="0"/>
          <w:bCs w:val="0"/>
          <w:i w:val="0"/>
          <w:iCs w:val="0"/>
          <w:kern w:val="2"/>
          <w:sz w:val="32"/>
          <w:szCs w:val="32"/>
          <w:u w:val="none"/>
          <w:lang w:val="en-US" w:eastAsia="zh-CN" w:bidi="ar-SA"/>
        </w:rPr>
        <w:t>管好用好已建成</w:t>
      </w:r>
      <w:r>
        <w:rPr>
          <w:rFonts w:hint="eastAsia" w:ascii="仿宋_GB2312" w:hAnsi="仿宋_GB2312" w:cs="仿宋_GB2312"/>
          <w:b w:val="0"/>
          <w:bCs w:val="0"/>
          <w:i w:val="0"/>
          <w:iCs w:val="0"/>
          <w:kern w:val="2"/>
          <w:sz w:val="32"/>
          <w:szCs w:val="32"/>
          <w:u w:val="none"/>
          <w:lang w:val="en-US" w:eastAsia="zh-CN" w:bidi="ar-SA"/>
        </w:rPr>
        <w:t>23</w:t>
      </w:r>
      <w:r>
        <w:rPr>
          <w:rFonts w:hint="eastAsia" w:ascii="仿宋_GB2312" w:hAnsi="仿宋_GB2312" w:eastAsia="仿宋_GB2312" w:cs="仿宋_GB2312"/>
          <w:b w:val="0"/>
          <w:bCs w:val="0"/>
          <w:i w:val="0"/>
          <w:iCs w:val="0"/>
          <w:kern w:val="2"/>
          <w:sz w:val="32"/>
          <w:szCs w:val="32"/>
          <w:u w:val="none"/>
          <w:lang w:val="en-US" w:eastAsia="zh-CN" w:bidi="ar-SA"/>
        </w:rPr>
        <w:t>座光伏电站，持续带动</w:t>
      </w:r>
      <w:r>
        <w:rPr>
          <w:rFonts w:hint="eastAsia" w:ascii="仿宋_GB2312" w:hAnsi="仿宋_GB2312" w:eastAsia="仿宋_GB2312" w:cs="仿宋_GB2312"/>
          <w:kern w:val="2"/>
          <w:sz w:val="32"/>
          <w:szCs w:val="32"/>
          <w:lang w:val="en-US" w:eastAsia="zh-CN" w:bidi="ar-SA"/>
        </w:rPr>
        <w:t>脱贫群众稳定增收致富</w:t>
      </w:r>
      <w:r>
        <w:rPr>
          <w:rFonts w:hint="eastAsia" w:ascii="仿宋_GB2312" w:hAnsi="仿宋_GB2312" w:eastAsia="仿宋_GB2312" w:cs="仿宋_GB2312"/>
          <w:b w:val="0"/>
          <w:bCs w:val="0"/>
          <w:i w:val="0"/>
          <w:iCs w:val="0"/>
          <w:kern w:val="2"/>
          <w:sz w:val="32"/>
          <w:szCs w:val="32"/>
          <w:u w:val="none"/>
          <w:lang w:val="en-US" w:eastAsia="zh-CN" w:bidi="ar-SA"/>
        </w:rPr>
        <w:t>，</w:t>
      </w:r>
      <w:r>
        <w:rPr>
          <w:rFonts w:hint="eastAsia" w:ascii="仿宋_GB2312" w:hAnsi="仿宋_GB2312" w:eastAsia="仿宋_GB2312" w:cs="仿宋_GB2312"/>
          <w:kern w:val="2"/>
          <w:sz w:val="32"/>
          <w:szCs w:val="32"/>
          <w:lang w:val="en-US" w:eastAsia="zh-CN" w:bidi="ar-SA"/>
        </w:rPr>
        <w:t>进一步提升光伏产业帮扶实效。</w:t>
      </w:r>
    </w:p>
    <w:p>
      <w:pPr>
        <w:keepNext w:val="0"/>
        <w:keepLines w:val="0"/>
        <w:pageBreakBefore w:val="0"/>
        <w:widowControl w:val="0"/>
        <w:kinsoku/>
        <w:wordWrap/>
        <w:overflowPunct/>
        <w:topLinePunct w:val="0"/>
        <w:autoSpaceDE/>
        <w:autoSpaceDN/>
        <w:bidi w:val="0"/>
        <w:adjustRightInd/>
        <w:snapToGrid/>
        <w:spacing w:line="660" w:lineRule="exact"/>
        <w:ind w:leftChars="0" w:firstLine="640" w:firstLineChars="200"/>
        <w:jc w:val="both"/>
        <w:textAlignment w:val="auto"/>
        <w:rPr>
          <w:rFonts w:hint="default"/>
          <w:lang w:val="en-US" w:eastAsia="zh-CN"/>
        </w:rPr>
      </w:pPr>
      <w:r>
        <w:rPr>
          <w:rFonts w:hint="eastAsia" w:ascii="楷体" w:hAnsi="楷体" w:eastAsia="楷体" w:cs="楷体"/>
          <w:b w:val="0"/>
          <w:bCs w:val="0"/>
          <w:kern w:val="2"/>
          <w:sz w:val="32"/>
          <w:szCs w:val="32"/>
          <w:lang w:val="en-US" w:eastAsia="zh-CN" w:bidi="ar-SA"/>
        </w:rPr>
        <w:t>（2）生态产业。</w:t>
      </w:r>
      <w:r>
        <w:rPr>
          <w:rFonts w:hint="eastAsia" w:ascii="仿宋_GB2312" w:eastAsia="仿宋_GB2312" w:cs="仿宋_GB2312"/>
          <w:sz w:val="32"/>
          <w:szCs w:val="32"/>
        </w:rPr>
        <w:t>开展国土绿化行动</w:t>
      </w:r>
      <w:r>
        <w:rPr>
          <w:rFonts w:hint="default" w:ascii="仿宋_GB2312" w:eastAsia="仿宋_GB2312"/>
          <w:sz w:val="32"/>
          <w:szCs w:val="32"/>
          <w:lang w:eastAsia="zh-CN"/>
        </w:rPr>
        <w:t>。</w:t>
      </w:r>
      <w:r>
        <w:rPr>
          <w:rFonts w:hint="eastAsia" w:ascii="仿宋_GB2312" w:eastAsia="仿宋_GB2312"/>
          <w:sz w:val="32"/>
          <w:szCs w:val="32"/>
          <w:lang w:val="en-US" w:eastAsia="zh-CN"/>
        </w:rPr>
        <w:t>在森林管护就业方面，优先吸纳身体条件能够胜任野外巡护工作的脱贫户、边缘易致贫户、因病</w:t>
      </w:r>
      <w:r>
        <w:rPr>
          <w:rFonts w:hint="default" w:ascii="仿宋_GB2312" w:eastAsia="仿宋_GB2312"/>
          <w:sz w:val="32"/>
          <w:szCs w:val="32"/>
          <w:lang w:eastAsia="zh-CN"/>
        </w:rPr>
        <w:t>因灾因意外事故导致基本生活出现严重困难等人员</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楷体" w:hAnsi="楷体" w:eastAsia="楷体" w:cs="楷体"/>
          <w:sz w:val="32"/>
          <w:szCs w:val="32"/>
          <w:lang w:val="en-US" w:eastAsia="zh-CN"/>
        </w:rPr>
        <w:t>2.强化务工就业保障。</w:t>
      </w:r>
      <w:r>
        <w:rPr>
          <w:rFonts w:hint="eastAsia" w:ascii="仿宋_GB2312" w:hAnsi="仿宋_GB2312" w:eastAsia="仿宋_GB2312" w:cs="仿宋_GB2312"/>
          <w:sz w:val="32"/>
          <w:szCs w:val="32"/>
          <w:lang w:val="en-US" w:eastAsia="zh-CN"/>
        </w:rPr>
        <w:t>监测对象中有劳动能力的，人社局组织各乡镇积极宣传用工岗位信息，并进行创业技能培训。在毕业年度有创业意愿并积极求职创业的监测对象给子一次性求职创业补贴；对吸纳监测对象小微企业且稳定就业半年以上的，根据吸纳就业人数给一次性吸纳就业补助；具有合法资质且在工商行政部门注册登记的人力资源服务企业、职业培训机构、家政服务企业以及经认定的劳务经纪人等市场主体为监测对象有组织提供劳务输出的，可按其就业服务后实际就业的人数向人社部门申请职业介绍补贴；对返乡创业带动监测对象就业的返乡下乡创业人员根据带动就业人数，给与一次性创业补贴。鼓励</w:t>
      </w:r>
      <w:r>
        <w:rPr>
          <w:rFonts w:hint="eastAsia" w:ascii="仿宋_GB2312" w:hAnsi="仿宋_GB2312" w:cs="仿宋_GB2312"/>
          <w:sz w:val="32"/>
          <w:szCs w:val="32"/>
          <w:lang w:val="en-US" w:eastAsia="zh-CN"/>
        </w:rPr>
        <w:t>右玉沙棘产品、</w:t>
      </w:r>
      <w:r>
        <w:rPr>
          <w:rFonts w:hint="eastAsia" w:ascii="仿宋_GB2312" w:hAnsi="仿宋_GB2312" w:eastAsia="仿宋_GB2312" w:cs="仿宋_GB2312"/>
          <w:sz w:val="32"/>
          <w:szCs w:val="32"/>
          <w:lang w:val="en-US" w:eastAsia="zh-CN"/>
        </w:rPr>
        <w:t>塞北小</w:t>
      </w:r>
      <w:r>
        <w:rPr>
          <w:rFonts w:hint="eastAsia" w:ascii="仿宋_GB2312" w:hAnsi="仿宋_GB2312" w:cs="仿宋_GB2312"/>
          <w:sz w:val="32"/>
          <w:szCs w:val="32"/>
          <w:lang w:val="en-US" w:eastAsia="zh-CN"/>
        </w:rPr>
        <w:t>杂</w:t>
      </w:r>
      <w:r>
        <w:rPr>
          <w:rFonts w:hint="eastAsia" w:ascii="仿宋_GB2312" w:hAnsi="仿宋_GB2312" w:eastAsia="仿宋_GB2312" w:cs="仿宋_GB2312"/>
          <w:sz w:val="32"/>
          <w:szCs w:val="32"/>
          <w:lang w:val="en-US" w:eastAsia="zh-CN"/>
        </w:rPr>
        <w:t>粮等特色劳务品牌带动监测对象务工就业；提供光伏电站、造林绿化、森林管护、环卫保洁、巡逻值守等公益性岗位安置就业；实施以工代赈项目，在保证工程质量的前提下优先吸纳监测对象，增加其工资性收入。</w:t>
      </w:r>
      <w:r>
        <w:rPr>
          <w:rFonts w:hint="eastAsia" w:ascii="仿宋_GB2312" w:hAnsi="仿宋_GB2312" w:eastAsia="仿宋_GB2312" w:cs="仿宋_GB2312"/>
          <w:b/>
          <w:bCs/>
          <w:sz w:val="32"/>
          <w:szCs w:val="32"/>
          <w:lang w:val="en-US" w:eastAsia="zh-CN"/>
        </w:rPr>
        <w:t>（责任单位：县人社局、各乡镇）</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楷体" w:hAnsi="楷体" w:eastAsia="楷体" w:cs="楷体"/>
          <w:sz w:val="32"/>
          <w:szCs w:val="32"/>
          <w:lang w:val="en-US" w:eastAsia="zh-CN"/>
        </w:rPr>
        <w:t>3.强化医疗救助保障。</w:t>
      </w:r>
      <w:r>
        <w:rPr>
          <w:rFonts w:hint="eastAsia" w:ascii="仿宋_GB2312" w:hAnsi="仿宋_GB2312" w:eastAsia="仿宋_GB2312" w:cs="仿宋_GB2312"/>
          <w:kern w:val="2"/>
          <w:sz w:val="32"/>
          <w:szCs w:val="32"/>
          <w:lang w:val="en-US" w:eastAsia="zh-CN" w:bidi="ar-SA"/>
        </w:rPr>
        <w:t>医疗救助资助以及大病保险继续对已脱贫人口、特困人员、低保对象和监测对象实施倾斜。卫生健康部门要保持现有健康扶贫政策基本稳定，落实落细监测对象大病集中救治和慢病签约政策，做到应治尽治、应签尽签。医保部门要充分发挥基本医保、大病保险、医疗救助各项制度的综合保障作用，有效防范监测对象因病返贫致贫风险。（</w:t>
      </w:r>
      <w:r>
        <w:rPr>
          <w:rFonts w:hint="eastAsia" w:ascii="仿宋_GB2312" w:hAnsi="仿宋_GB2312" w:eastAsia="仿宋_GB2312" w:cs="仿宋_GB2312"/>
          <w:b/>
          <w:bCs/>
          <w:kern w:val="2"/>
          <w:sz w:val="32"/>
          <w:szCs w:val="32"/>
          <w:lang w:val="en-US" w:eastAsia="zh-CN" w:bidi="ar-SA"/>
        </w:rPr>
        <w:t>责任单位：县卫健局、县医保局、县医疗集团、保险公司）</w:t>
      </w:r>
      <w:r>
        <w:rPr>
          <w:rFonts w:hint="eastAsia" w:ascii="仿宋_GB2312" w:hAnsi="仿宋_GB2312" w:eastAsia="仿宋_GB2312" w:cs="仿宋_GB2312"/>
          <w:b/>
          <w:bCs/>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（1）继续做好贫困患者在县域内医疗机构住院实行“先诊疗后付费”、“一站式”结算服务。将建档立卡脱贫人口全部纳入基本医保范围，严格执行各项保障政策。</w:t>
      </w:r>
    </w:p>
    <w:p>
      <w:pPr>
        <w:keepNext w:val="0"/>
        <w:keepLines w:val="0"/>
        <w:pageBreakBefore w:val="0"/>
        <w:widowControl w:val="0"/>
        <w:kinsoku/>
        <w:wordWrap/>
        <w:overflowPunct/>
        <w:topLinePunct w:val="0"/>
        <w:autoSpaceDE/>
        <w:autoSpaceDN/>
        <w:bidi w:val="0"/>
        <w:adjustRightInd/>
        <w:snapToGrid/>
        <w:spacing w:line="6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持续做好疾病分类救治工作。聚焦农村长期用药支出较大的慢病患者、突发大病的患者，落实好各项健康扶贫政策。做好家庭医生签约服务，按要求进行随访和提供医疗服务，并做好记录。</w:t>
      </w:r>
    </w:p>
    <w:p>
      <w:pPr>
        <w:pStyle w:val="2"/>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门诊救助。①因患慢性病需长期服药或者需要长期门诊治疗导致自负费用较高的常规门诊困难群众，卫健部门已经明确诊疗路径，能够通过门诊治疗的病种，采取单病种付费的方式开展门诊救助，最高支付限额为1000元。卫健部门未明确诊疗路径，采取定期定额救助的形式，每年给予1000元医疗救助。②对于许多重病和重特大疾病患者（重性精神病、白血病、尿毒症透析病人、肿瘤术后需化疗病人等）需要长期服药或长期门诊治疗（化疗），导致自负费用支出较高的特殊患者，比照住院患者进行救助，即按照重点救助对象住院救助政策纳入救助范围，年度医疗救助支付限额2万元。</w:t>
      </w:r>
    </w:p>
    <w:p>
      <w:pPr>
        <w:pStyle w:val="2"/>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住院救助。对特困供养对象在医院发生的政策范围内住院费用，经基本医疗保险、城乡居民大病保险和各类补充医疗保险、商业保险报销以及优抚对象医疗补助后，扣除社会互助帮困等因素，通过医院的“一站式”救助窗口办理出院结算手续，对个人负担的合规医疗费用在年度救助限额内全部给予救助，全年累计救助金额不超过2万元。已脱贫人口住院救助按照《山西省农村建档立卡贫困人口医疗保障帮扶方案》(晋发(〔2017〕44号)的规定执行，对建档立卡贫困低保对象“136”兜底后报销比例未达到90％的不足部分由医疗救助补足。低收入救助对象、因病致贫家庭重病患者住院费用按照城乡基本医疗保险制度报销后，个人负担的合规医疗费用超过3万元的，超过部分按自付合规医疗费用40％的比例放助，全年累计救助金额不超过1万元。⑤戈谢病、庞贝氏病患者，门诊医疗费用支出巨大，按重点救助对象住院救助政策纳入救助范围。</w:t>
      </w:r>
    </w:p>
    <w:p>
      <w:pPr>
        <w:pStyle w:val="2"/>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重特大疾病医疗救助。重特大疾病医疗救助是医疗救助的重要形式，医院按照实行单病种最高限额付费，限额内费用由基本医疗保险基金、医疗救助基金和患者共同负担，超过限额标准的医疗费用由定点医院承担，其用药范围、诊疗项目、医疗服务设施标准等，参照基本医疗保险和城乡居民大病保险的相关规定执行，对确需到上级医疗机构或异地就医的，应按规定办理转诊或备案手续。身患省定26类重特大疾病的医疗救助重点救助对象(儿童白血病、儿童先心病、重性精神疾病、乳腺癌、宫颈癌、终末期肾病、结肠癌、直肠癌、食道癌、胃癌、肺癌、急性心肌梗塞、I型糖尿病、甲亢、脑梗死、唇腭裂、血友病、慢性粒细胞白血病、艾滋病机会性感染、耐多药肺结核、儿童苯丙酮尿症、儿童尿道下裂、儿童先天性巨结肠、儿童先天性肥厚性幽门狭窄、大骨节病住院关节置换手术、氟骨症住院关节置换手术)在重特大疾病医疗救助定点医疗机构发生的限额内费用由城乡居民医保基金支付70％，医疗救助基金救助20％(不受当地医疗救助年度封顶线限制)。低收入救助对象、因病致贫家庭重病患者由城乡居民医保基金支付70％，医疗救助基金救助10％(不受当地医疗救助年度封顶线限制)。</w:t>
      </w:r>
    </w:p>
    <w:p>
      <w:pPr>
        <w:pStyle w:val="2"/>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（6）大病关怀救助。医院按照重点救助对象、已脱贫人口身患24类重特大疾病具体病种按晋政办发〔2015〕98号文件规定执行。</w:t>
      </w:r>
    </w:p>
    <w:p>
      <w:pPr>
        <w:pStyle w:val="2"/>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rPr>
          <w:rFonts w:hint="eastAsia" w:ascii="仿宋_GB2312" w:hAnsi="仿宋_GB2312" w:eastAsia="仿宋_GB2312" w:cs="仿宋_GB2312"/>
          <w:b/>
          <w:bCs/>
          <w:sz w:val="32"/>
          <w:szCs w:val="32"/>
          <w:lang w:val="en-US" w:eastAsia="zh-CN"/>
        </w:rPr>
      </w:pPr>
      <w:r>
        <w:rPr>
          <w:rFonts w:hint="eastAsia" w:ascii="楷体" w:hAnsi="楷体" w:eastAsia="楷体" w:cs="楷体"/>
          <w:kern w:val="2"/>
          <w:sz w:val="32"/>
          <w:szCs w:val="32"/>
          <w:lang w:val="en-US" w:eastAsia="zh-CN" w:bidi="ar-SA"/>
        </w:rPr>
        <w:t>4.强化住房安全保障。</w:t>
      </w:r>
      <w:r>
        <w:rPr>
          <w:rFonts w:hint="eastAsia" w:ascii="仿宋_GB2312" w:hAnsi="仿宋_GB2312" w:eastAsia="仿宋_GB2312" w:cs="仿宋_GB2312"/>
          <w:kern w:val="2"/>
          <w:sz w:val="32"/>
          <w:szCs w:val="32"/>
          <w:lang w:val="en-US" w:eastAsia="zh-CN" w:bidi="ar-SA"/>
        </w:rPr>
        <w:t>住建部门要进一步建立健全危房动态监测工作机制，重点对监测对象住房情况开展不定期巡查，发现一户、改造一户、销档一户，</w:t>
      </w:r>
      <w:r>
        <w:rPr>
          <w:rFonts w:hint="eastAsia" w:ascii="仿宋_GB2312" w:hAnsi="仿宋_GB2312" w:eastAsia="仿宋_GB2312" w:cs="仿宋_GB2312"/>
          <w:sz w:val="32"/>
          <w:szCs w:val="32"/>
          <w:lang w:val="en-US" w:eastAsia="zh-CN"/>
        </w:rPr>
        <w:t>确保“安有所居”。</w:t>
      </w:r>
      <w:r>
        <w:rPr>
          <w:rFonts w:hint="eastAsia" w:ascii="仿宋_GB2312" w:hAnsi="仿宋_GB2312" w:eastAsia="仿宋_GB2312" w:cs="仿宋_GB2312"/>
          <w:kern w:val="2"/>
          <w:sz w:val="32"/>
          <w:szCs w:val="32"/>
          <w:lang w:val="en-US" w:eastAsia="zh-CN" w:bidi="ar-SA"/>
        </w:rPr>
        <w:t>农村低收入群体等重点对象中住房安全未保障的，可由农户本人向村委会提出申请，按照村评议、乡镇审核、县级审批的工作程序，对经鉴定或评定住房确属C级、D级或无房户予以住房安全保障支持。对保障对象中失能失智无法提出申请的特殊人员，由村委会帮助其提出住房保障申请。</w:t>
      </w:r>
      <w:r>
        <w:rPr>
          <w:rFonts w:hint="eastAsia" w:ascii="仿宋_GB2312" w:hAnsi="仿宋_GB2312" w:eastAsia="仿宋_GB2312" w:cs="仿宋_GB2312"/>
          <w:sz w:val="32"/>
          <w:szCs w:val="32"/>
          <w:lang w:val="en-US" w:eastAsia="zh-CN"/>
        </w:rPr>
        <w:t>要全面排查住房门窗破损、电线乱接老化等安全隐患，及时采取有效措施予以解决清除，坚决防止因自然灾害、安全事故等发生人员伤亡或财产损失，造成致贫返贫。</w:t>
      </w:r>
      <w:r>
        <w:rPr>
          <w:rFonts w:hint="eastAsia" w:ascii="仿宋_GB2312" w:hAnsi="仿宋_GB2312" w:eastAsia="仿宋_GB2312" w:cs="仿宋_GB2312"/>
          <w:b/>
          <w:bCs/>
          <w:sz w:val="32"/>
          <w:szCs w:val="32"/>
          <w:lang w:val="en-US" w:eastAsia="zh-CN"/>
        </w:rPr>
        <w:t>（责任单位：县住建局、县电力公司、各乡镇）</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b/>
          <w:bCs/>
          <w:sz w:val="32"/>
          <w:szCs w:val="32"/>
          <w:lang w:val="en-US" w:eastAsia="zh-CN"/>
        </w:rPr>
      </w:pPr>
      <w:r>
        <w:rPr>
          <w:rFonts w:hint="eastAsia" w:ascii="楷体" w:hAnsi="楷体" w:eastAsia="楷体" w:cs="楷体"/>
          <w:sz w:val="32"/>
          <w:szCs w:val="32"/>
          <w:lang w:val="en-US" w:eastAsia="zh-CN"/>
        </w:rPr>
        <w:t>5.强化义务教育保障。</w:t>
      </w:r>
      <w:r>
        <w:rPr>
          <w:rFonts w:hint="eastAsia" w:ascii="仿宋_GB2312" w:hAnsi="仿宋_GB2312" w:eastAsia="仿宋_GB2312" w:cs="仿宋_GB2312"/>
          <w:sz w:val="32"/>
          <w:szCs w:val="32"/>
          <w:lang w:val="en-US" w:eastAsia="zh-CN"/>
        </w:rPr>
        <w:t>教育部门要严格执行义务教育控辍保学联控联保机制，努力提升义务教育巩固水平，形成义务教育有保障的长效机制；对监测对象子女接受学前三年教育、九年制义务教育或职业教育的，要按照现有教育扶贫政策全面落实到位，确保不漏一户一人。县乡村振兴部门要落实“雨露计划”、建档立卡已脱贫家庭及监测帮扶对象家庭本科大学新生资助政策，保障监测对象子女不因家庭困难造成失学辍学，确保顺利完成学业回报社会。</w:t>
      </w:r>
      <w:r>
        <w:rPr>
          <w:rFonts w:hint="eastAsia" w:ascii="仿宋_GB2312" w:hAnsi="仿宋_GB2312" w:eastAsia="仿宋_GB2312" w:cs="仿宋_GB2312"/>
          <w:b/>
          <w:bCs/>
          <w:sz w:val="32"/>
          <w:szCs w:val="32"/>
          <w:lang w:val="en-US" w:eastAsia="zh-CN"/>
        </w:rPr>
        <w:t>（责任部门：县教育局、县乡村振兴局）</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lang w:val="en-US" w:eastAsia="zh-CN"/>
        </w:rPr>
        <w:t>学前教育阶段补助。补助对象：我县资助对象为在全县公办、已审批民办幼儿园就读的建档立卡家庭幼儿（全覆盖）、城乡低保家庭幼儿、残疾幼儿、孤儿及其他原因造成的家庭经济困难的幼儿。受助儿童覆盖面按在园儿童数的15%测算。补助标准：1000元/生/年。</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义务教育阶段。“两免”：</w:t>
      </w:r>
      <w:r>
        <w:rPr>
          <w:rFonts w:hint="eastAsia" w:ascii="仿宋_GB2312" w:hAnsi="仿宋_GB2312" w:cs="仿宋_GB2312"/>
          <w:sz w:val="32"/>
          <w:szCs w:val="32"/>
          <w:lang w:val="en-US" w:eastAsia="zh-CN"/>
        </w:rPr>
        <w:t>一是</w:t>
      </w:r>
      <w:r>
        <w:rPr>
          <w:rFonts w:hint="eastAsia" w:ascii="仿宋_GB2312" w:hAnsi="仿宋_GB2312" w:eastAsia="仿宋_GB2312" w:cs="仿宋_GB2312"/>
          <w:sz w:val="32"/>
          <w:szCs w:val="32"/>
          <w:lang w:val="en-US" w:eastAsia="zh-CN"/>
        </w:rPr>
        <w:t>“两免”受助对象：全县城乡义务教育阶段学生。政策措施：免除学杂费、免费提供科教书。</w:t>
      </w:r>
      <w:r>
        <w:rPr>
          <w:rFonts w:hint="eastAsia" w:ascii="仿宋_GB2312" w:hAnsi="仿宋_GB2312" w:cs="仿宋_GB2312"/>
          <w:sz w:val="32"/>
          <w:szCs w:val="32"/>
          <w:lang w:val="en-US" w:eastAsia="zh-CN"/>
        </w:rPr>
        <w:t>二是</w:t>
      </w:r>
      <w:r>
        <w:rPr>
          <w:rFonts w:hint="eastAsia" w:ascii="仿宋_GB2312" w:hAnsi="仿宋_GB2312" w:eastAsia="仿宋_GB2312" w:cs="仿宋_GB2312"/>
          <w:sz w:val="32"/>
          <w:szCs w:val="32"/>
          <w:lang w:val="en-US" w:eastAsia="zh-CN"/>
        </w:rPr>
        <w:t>“一补”补助对象：全县农村义务教育阶段家庭经济困难寄宿生（义务教育阶段建档立卡学生，以及非建档立卡家庭经济困难残疾学生、农村低保家庭学生、农村特困救助供养学生等），受助学生覆盖面按寄宿生的23%测算。补助标准：小学1000元/生/年，初中1250元/生/年。</w:t>
      </w:r>
      <w:r>
        <w:rPr>
          <w:rFonts w:hint="eastAsia" w:ascii="仿宋_GB2312" w:hAnsi="仿宋_GB2312" w:cs="仿宋_GB2312"/>
          <w:sz w:val="32"/>
          <w:szCs w:val="32"/>
          <w:lang w:val="en-US" w:eastAsia="zh-CN"/>
        </w:rPr>
        <w:t>三是</w:t>
      </w:r>
      <w:r>
        <w:rPr>
          <w:rFonts w:hint="eastAsia" w:ascii="仿宋_GB2312" w:hAnsi="仿宋_GB2312" w:eastAsia="仿宋_GB2312" w:cs="仿宋_GB2312"/>
          <w:sz w:val="32"/>
          <w:szCs w:val="32"/>
          <w:lang w:val="en-US" w:eastAsia="zh-CN"/>
        </w:rPr>
        <w:t>从2019年秋季学期起，将义务教育阶段建档立卡学生，以及非建档立卡家庭经济困难残疾学生、农村低保家庭学生、农村特困救助供养学生等四类家庭经济困难非寄宿生纳入生活补助范围。补助标准为寄宿生补助标准的50%，即小学500元/生/年，初中625元/生/年。</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val="en-US" w:eastAsia="zh-CN"/>
        </w:rPr>
        <w:t>普通高中教育阶段。</w:t>
      </w:r>
      <w:r>
        <w:rPr>
          <w:rFonts w:hint="eastAsia" w:ascii="仿宋_GB2312" w:hAnsi="仿宋_GB2312" w:cs="仿宋_GB2312"/>
          <w:sz w:val="32"/>
          <w:szCs w:val="32"/>
          <w:lang w:val="en-US" w:eastAsia="zh-CN"/>
        </w:rPr>
        <w:t>落实</w:t>
      </w:r>
      <w:r>
        <w:rPr>
          <w:rFonts w:hint="eastAsia" w:ascii="仿宋_GB2312" w:hAnsi="仿宋_GB2312" w:eastAsia="仿宋_GB2312" w:cs="仿宋_GB2312"/>
          <w:sz w:val="32"/>
          <w:szCs w:val="32"/>
          <w:lang w:val="en-US" w:eastAsia="zh-CN"/>
        </w:rPr>
        <w:t>国家助学金补助对象：全县公办和民办普通高中家庭经济困难学生等（含建档立卡贫困生），受助学生比例为普通高中在校生总数的20%。补助标准：2000元/生/年。</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val="en-US" w:eastAsia="zh-CN"/>
        </w:rPr>
        <w:t>中等职业教育阶段。</w:t>
      </w:r>
      <w:r>
        <w:rPr>
          <w:rFonts w:hint="eastAsia" w:ascii="仿宋_GB2312" w:hAnsi="仿宋_GB2312" w:cs="仿宋_GB2312"/>
          <w:sz w:val="32"/>
          <w:szCs w:val="32"/>
          <w:lang w:val="en-US" w:eastAsia="zh-CN"/>
        </w:rPr>
        <w:t>一是</w:t>
      </w:r>
      <w:r>
        <w:rPr>
          <w:rFonts w:hint="eastAsia" w:ascii="仿宋_GB2312" w:hAnsi="仿宋_GB2312" w:eastAsia="仿宋_GB2312" w:cs="仿宋_GB2312"/>
          <w:sz w:val="32"/>
          <w:szCs w:val="32"/>
          <w:lang w:val="en-US" w:eastAsia="zh-CN"/>
        </w:rPr>
        <w:t>免学费受助对象：全县职业高中全日制学历教育具有正式学籍的在校学生。免除标准：2000元/生/年。</w:t>
      </w:r>
      <w:r>
        <w:rPr>
          <w:rFonts w:hint="eastAsia" w:ascii="仿宋_GB2312" w:hAnsi="仿宋_GB2312" w:cs="仿宋_GB2312"/>
          <w:sz w:val="32"/>
          <w:szCs w:val="32"/>
          <w:lang w:val="en-US" w:eastAsia="zh-CN"/>
        </w:rPr>
        <w:t>二是</w:t>
      </w:r>
      <w:r>
        <w:rPr>
          <w:rFonts w:hint="eastAsia" w:ascii="仿宋_GB2312" w:hAnsi="仿宋_GB2312" w:eastAsia="仿宋_GB2312" w:cs="仿宋_GB2312"/>
          <w:sz w:val="32"/>
          <w:szCs w:val="32"/>
          <w:lang w:val="en-US" w:eastAsia="zh-CN"/>
        </w:rPr>
        <w:t>国家助学金补助对象：全县职业高中全日制正式学籍一、二年级在校涉农专业学生和非涉农专业家庭经济困难学生。资助学生比例按在校学生的15%（我县农村户口学生全覆盖）。补助标准：2000元/生/年。</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（5）建档立卡户</w:t>
      </w:r>
      <w:r>
        <w:rPr>
          <w:rFonts w:hint="eastAsia" w:ascii="仿宋_GB2312" w:hAnsi="仿宋_GB2312" w:eastAsia="仿宋_GB2312" w:cs="仿宋_GB2312"/>
          <w:sz w:val="32"/>
          <w:szCs w:val="32"/>
          <w:lang w:val="en-US" w:eastAsia="zh-CN"/>
        </w:rPr>
        <w:t>大学生资助。生源地助学贷款：受助对象为学生本人户籍及共同借款人户籍均在我县的家庭经济困难大学生、研究生。本、专科学生不超过8000元/年，研究生不超过12000元/年，在校期间享受财政贴息。</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b/>
          <w:bCs/>
          <w:kern w:val="2"/>
          <w:sz w:val="32"/>
          <w:szCs w:val="32"/>
          <w:lang w:val="en-US" w:eastAsia="zh-CN" w:bidi="ar-SA"/>
        </w:rPr>
      </w:pPr>
      <w:r>
        <w:rPr>
          <w:rFonts w:hint="eastAsia" w:ascii="楷体" w:hAnsi="楷体" w:eastAsia="楷体" w:cs="楷体"/>
          <w:sz w:val="32"/>
          <w:szCs w:val="32"/>
          <w:lang w:val="en-US" w:eastAsia="zh-CN"/>
        </w:rPr>
        <w:t>6.强化饮水安全保障。</w:t>
      </w:r>
      <w:r>
        <w:rPr>
          <w:rFonts w:hint="eastAsia" w:ascii="仿宋_GB2312" w:hAnsi="仿宋_GB2312" w:eastAsia="仿宋_GB2312" w:cs="仿宋_GB2312"/>
          <w:kern w:val="2"/>
          <w:sz w:val="32"/>
          <w:szCs w:val="32"/>
          <w:lang w:val="en-US" w:eastAsia="zh-CN" w:bidi="ar-SA"/>
        </w:rPr>
        <w:t>水利部门要持续做好监测对象饮水现状动态监测，及时发现解决供水隐患问题，确保农村饮水工程“水源稳定、水质达标、水管畅通”。</w:t>
      </w:r>
      <w:r>
        <w:rPr>
          <w:rFonts w:hint="eastAsia" w:ascii="仿宋_GB2312" w:hAnsi="仿宋_GB2312" w:eastAsia="仿宋_GB2312" w:cs="仿宋_GB2312"/>
          <w:b/>
          <w:bCs/>
          <w:kern w:val="2"/>
          <w:sz w:val="32"/>
          <w:szCs w:val="32"/>
          <w:lang w:val="en-US" w:eastAsia="zh-CN" w:bidi="ar-SA"/>
        </w:rPr>
        <w:t>（责任单位：县水利局</w:t>
      </w:r>
      <w:r>
        <w:rPr>
          <w:rFonts w:hint="eastAsia" w:ascii="仿宋_GB2312" w:hAnsi="仿宋_GB2312" w:cs="仿宋_GB2312"/>
          <w:b/>
          <w:bCs/>
          <w:kern w:val="2"/>
          <w:sz w:val="32"/>
          <w:szCs w:val="32"/>
          <w:lang w:val="en-US" w:eastAsia="zh-CN" w:bidi="ar-SA"/>
        </w:rPr>
        <w:t>、各乡镇</w:t>
      </w:r>
      <w:r>
        <w:rPr>
          <w:rFonts w:hint="eastAsia" w:ascii="仿宋_GB2312" w:hAnsi="仿宋_GB2312" w:eastAsia="仿宋_GB2312" w:cs="仿宋_GB2312"/>
          <w:b/>
          <w:bCs/>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7.强化社会兜底保障。</w:t>
      </w:r>
      <w:r>
        <w:rPr>
          <w:rFonts w:hint="default" w:ascii="仿宋_GB2312" w:hAnsi="仿宋_GB2312" w:eastAsia="仿宋_GB2312" w:cs="仿宋_GB2312"/>
          <w:sz w:val="32"/>
          <w:szCs w:val="32"/>
          <w:lang w:val="en-US" w:eastAsia="zh-CN"/>
        </w:rPr>
        <w:t>对完全或部分丧失劳动能力且无法通过产业就业获得稳定收入的监测对象，按规定纳入农村低保或特困人员救助供养范围</w:t>
      </w:r>
      <w:r>
        <w:rPr>
          <w:rFonts w:hint="eastAsia" w:ascii="仿宋_GB2312" w:hAnsi="仿宋_GB2312" w:cs="仿宋_GB2312"/>
          <w:sz w:val="32"/>
          <w:szCs w:val="32"/>
          <w:lang w:val="en-US" w:eastAsia="zh-CN"/>
        </w:rPr>
        <w:t>，低保和五保标准提升。</w:t>
      </w:r>
      <w:r>
        <w:rPr>
          <w:rFonts w:hint="default" w:ascii="仿宋_GB2312" w:hAnsi="仿宋_GB2312" w:eastAsia="仿宋_GB2312" w:cs="仿宋_GB2312"/>
          <w:sz w:val="32"/>
          <w:szCs w:val="32"/>
          <w:lang w:val="en-US" w:eastAsia="zh-CN"/>
        </w:rPr>
        <w:t>落实好残疾人两项补贴和城乡居民补充养老保险等帮扶政策。对因病因灾因残因意外事故导致基本生活出现严重困难的，</w:t>
      </w:r>
      <w:r>
        <w:rPr>
          <w:rFonts w:hint="eastAsia" w:ascii="仿宋_GB2312" w:hAnsi="仿宋_GB2312" w:eastAsia="仿宋_GB2312" w:cs="仿宋_GB2312"/>
          <w:sz w:val="32"/>
          <w:szCs w:val="32"/>
          <w:lang w:val="en-US" w:eastAsia="zh-CN"/>
        </w:rPr>
        <w:t>依据省市有关文件精神可</w:t>
      </w:r>
      <w:r>
        <w:rPr>
          <w:rFonts w:hint="default" w:ascii="仿宋_GB2312" w:hAnsi="仿宋_GB2312" w:eastAsia="仿宋_GB2312" w:cs="仿宋_GB2312"/>
          <w:sz w:val="32"/>
          <w:szCs w:val="32"/>
          <w:lang w:val="en-US" w:eastAsia="zh-CN"/>
        </w:rPr>
        <w:t>给予紧急救助，防止出现返贫致贫现象。</w:t>
      </w:r>
      <w:r>
        <w:rPr>
          <w:rFonts w:hint="eastAsia" w:ascii="仿宋_GB2312" w:hAnsi="仿宋_GB2312" w:eastAsia="仿宋_GB2312" w:cs="仿宋_GB2312"/>
          <w:b/>
          <w:bCs/>
          <w:sz w:val="32"/>
          <w:szCs w:val="32"/>
          <w:lang w:val="en-US" w:eastAsia="zh-CN"/>
        </w:rPr>
        <w:t>（责任部门：县民政局、县残联、县</w:t>
      </w:r>
      <w:r>
        <w:rPr>
          <w:rFonts w:hint="eastAsia" w:ascii="仿宋_GB2312" w:hAnsi="仿宋_GB2312" w:cs="仿宋_GB2312"/>
          <w:b/>
          <w:bCs/>
          <w:sz w:val="32"/>
          <w:szCs w:val="32"/>
          <w:lang w:val="en-US" w:eastAsia="zh-CN"/>
        </w:rPr>
        <w:t>人社局</w:t>
      </w:r>
      <w:r>
        <w:rPr>
          <w:rFonts w:hint="eastAsia" w:ascii="仿宋_GB2312" w:hAnsi="仿宋_GB2312" w:eastAsia="仿宋_GB2312" w:cs="仿宋_GB2312"/>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3" w:firstLineChars="200"/>
        <w:jc w:val="both"/>
        <w:textAlignment w:val="auto"/>
        <w:outlineLvl w:val="9"/>
        <w:rPr>
          <w:rFonts w:hint="eastAsia" w:ascii="仿宋_GB2312" w:hAnsi="仿宋_GB2312" w:eastAsia="仿宋_GB2312" w:cs="仿宋_GB2312"/>
          <w:b/>
          <w:bCs/>
          <w:sz w:val="32"/>
          <w:szCs w:val="32"/>
          <w:lang w:val="en-US" w:eastAsia="zh-CN"/>
        </w:rPr>
      </w:pPr>
      <w:r>
        <w:rPr>
          <w:rStyle w:val="19"/>
          <w:rFonts w:hint="eastAsia" w:ascii="楷体" w:hAnsi="楷体" w:eastAsia="楷体" w:cs="楷体"/>
          <w:b/>
          <w:bCs/>
          <w:sz w:val="32"/>
          <w:szCs w:val="32"/>
          <w:highlight w:val="none"/>
          <w:lang w:val="en-US" w:eastAsia="zh-CN"/>
        </w:rPr>
        <w:t>7.金融帮扶</w:t>
      </w:r>
      <w:r>
        <w:rPr>
          <w:rStyle w:val="19"/>
          <w:rFonts w:hint="eastAsia" w:ascii="楷体" w:hAnsi="楷体" w:eastAsia="楷体" w:cs="楷体"/>
          <w:sz w:val="32"/>
          <w:szCs w:val="32"/>
          <w:highlight w:val="none"/>
          <w:lang w:val="en-US" w:eastAsia="zh-CN"/>
        </w:rPr>
        <w:t>。</w:t>
      </w:r>
      <w:r>
        <w:rPr>
          <w:rFonts w:hint="eastAsia" w:ascii="仿宋_GB2312" w:hAnsi="仿宋_GB2312" w:eastAsia="仿宋_GB2312" w:cs="仿宋_GB2312"/>
          <w:sz w:val="32"/>
          <w:szCs w:val="32"/>
          <w:lang w:val="en-US" w:eastAsia="zh-CN"/>
        </w:rPr>
        <w:t>以县为单位，为农村常住农户集中</w:t>
      </w:r>
      <w:r>
        <w:rPr>
          <w:rFonts w:hint="eastAsia" w:ascii="仿宋_GB2312" w:hAnsi="仿宋_GB2312" w:cs="仿宋_GB2312"/>
          <w:sz w:val="32"/>
          <w:szCs w:val="32"/>
          <w:lang w:val="en-US" w:eastAsia="zh-CN"/>
        </w:rPr>
        <w:t>投</w:t>
      </w:r>
      <w:r>
        <w:rPr>
          <w:rFonts w:hint="eastAsia" w:ascii="仿宋_GB2312" w:hAnsi="仿宋_GB2312" w:eastAsia="仿宋_GB2312" w:cs="仿宋_GB2312"/>
          <w:sz w:val="32"/>
          <w:szCs w:val="32"/>
          <w:lang w:val="en-US" w:eastAsia="zh-CN"/>
        </w:rPr>
        <w:t>保，对因农产品价格波动、自然灾害等因素导致致贫返贫风险的予以理赔；对监测对象因病、因灾、因意外事故以及收入下降等因素导致致贫返贫风险的予以理赔；</w:t>
      </w:r>
      <w:r>
        <w:rPr>
          <w:rFonts w:hint="default" w:ascii="仿宋_GB2312" w:hAnsi="仿宋_GB2312" w:eastAsia="仿宋_GB2312" w:cs="仿宋_GB2312"/>
          <w:sz w:val="32"/>
          <w:szCs w:val="32"/>
          <w:lang w:val="en-US" w:eastAsia="zh-CN"/>
        </w:rPr>
        <w:t>对自愿发展到户产业项目的监测对象，</w:t>
      </w:r>
      <w:r>
        <w:rPr>
          <w:rFonts w:hint="eastAsia" w:ascii="仿宋_GB2312" w:hAnsi="仿宋_GB2312" w:eastAsia="仿宋_GB2312" w:cs="仿宋_GB2312"/>
          <w:sz w:val="32"/>
          <w:szCs w:val="32"/>
          <w:lang w:val="en-US" w:eastAsia="zh-CN"/>
        </w:rPr>
        <w:t>提供小额信贷支持其生产经营。</w:t>
      </w:r>
      <w:r>
        <w:rPr>
          <w:rFonts w:hint="eastAsia" w:ascii="仿宋_GB2312" w:hAnsi="仿宋_GB2312" w:eastAsia="仿宋_GB2312" w:cs="仿宋_GB2312"/>
          <w:b/>
          <w:bCs/>
          <w:sz w:val="32"/>
          <w:szCs w:val="32"/>
          <w:lang w:val="en-US" w:eastAsia="zh-CN"/>
        </w:rPr>
        <w:t>（责任部门：县农业农村局、县</w:t>
      </w:r>
      <w:r>
        <w:rPr>
          <w:rFonts w:hint="eastAsia" w:ascii="仿宋_GB2312" w:hAnsi="仿宋_GB2312" w:cs="仿宋_GB2312"/>
          <w:b/>
          <w:bCs/>
          <w:sz w:val="32"/>
          <w:szCs w:val="32"/>
          <w:lang w:val="en-US" w:eastAsia="zh-CN"/>
        </w:rPr>
        <w:t>乡村振兴</w:t>
      </w:r>
      <w:r>
        <w:rPr>
          <w:rFonts w:hint="eastAsia" w:ascii="仿宋_GB2312" w:hAnsi="仿宋_GB2312" w:eastAsia="仿宋_GB2312" w:cs="仿宋_GB2312"/>
          <w:b/>
          <w:bCs/>
          <w:sz w:val="32"/>
          <w:szCs w:val="32"/>
          <w:lang w:val="en-US" w:eastAsia="zh-CN"/>
        </w:rPr>
        <w:t>局、中国人保财险</w:t>
      </w:r>
      <w:r>
        <w:rPr>
          <w:rFonts w:hint="eastAsia" w:ascii="仿宋_GB2312" w:hAnsi="仿宋_GB2312" w:cs="仿宋_GB2312"/>
          <w:b/>
          <w:bCs/>
          <w:sz w:val="32"/>
          <w:szCs w:val="32"/>
          <w:lang w:val="en-US" w:eastAsia="zh-CN"/>
        </w:rPr>
        <w:t>右玉</w:t>
      </w:r>
      <w:r>
        <w:rPr>
          <w:rFonts w:hint="eastAsia" w:ascii="仿宋_GB2312" w:hAnsi="仿宋_GB2312" w:eastAsia="仿宋_GB2312" w:cs="仿宋_GB2312"/>
          <w:b/>
          <w:bCs/>
          <w:sz w:val="32"/>
          <w:szCs w:val="32"/>
          <w:lang w:val="en-US" w:eastAsia="zh-CN"/>
        </w:rPr>
        <w:t>支公司）</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3" w:firstLineChars="200"/>
        <w:jc w:val="both"/>
        <w:textAlignment w:val="auto"/>
        <w:outlineLvl w:val="9"/>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政策性种植险：</w:t>
      </w:r>
      <w:r>
        <w:rPr>
          <w:rFonts w:hint="eastAsia" w:ascii="仿宋_GB2312" w:hAnsi="仿宋_GB2312" w:eastAsia="仿宋_GB2312" w:cs="仿宋_GB2312"/>
          <w:sz w:val="32"/>
          <w:szCs w:val="32"/>
          <w:lang w:val="en-US" w:eastAsia="zh-CN"/>
        </w:rPr>
        <w:t>投资50万元</w:t>
      </w:r>
      <w:r>
        <w:rPr>
          <w:rFonts w:hint="eastAsia" w:ascii="仿宋_GB2312" w:hAnsi="仿宋_GB2312" w:cs="仿宋_GB2312"/>
          <w:sz w:val="32"/>
          <w:szCs w:val="32"/>
          <w:lang w:val="en-US" w:eastAsia="zh-CN"/>
        </w:rPr>
        <w:t>共为7382户脱贫户，1000户边缘户</w:t>
      </w:r>
      <w:r>
        <w:rPr>
          <w:rFonts w:hint="eastAsia" w:ascii="仿宋_GB2312" w:hAnsi="仿宋_GB2312" w:eastAsia="仿宋_GB2312" w:cs="仿宋_GB2312"/>
          <w:sz w:val="32"/>
          <w:szCs w:val="32"/>
          <w:lang w:val="en-US" w:eastAsia="zh-CN"/>
        </w:rPr>
        <w:t>购买价格险</w:t>
      </w:r>
      <w:r>
        <w:rPr>
          <w:rFonts w:hint="eastAsia" w:ascii="仿宋_GB2312" w:hAnsi="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救助保险：</w:t>
      </w:r>
      <w:r>
        <w:rPr>
          <w:rFonts w:hint="eastAsia" w:ascii="仿宋_GB2312" w:hAnsi="仿宋_GB2312" w:eastAsia="仿宋_GB2312" w:cs="仿宋_GB2312"/>
          <w:b w:val="0"/>
          <w:bCs w:val="0"/>
          <w:sz w:val="32"/>
          <w:szCs w:val="32"/>
          <w:lang w:val="en-US" w:eastAsia="zh-CN"/>
        </w:rPr>
        <w:t>对</w:t>
      </w:r>
      <w:r>
        <w:rPr>
          <w:rFonts w:hint="eastAsia" w:ascii="仿宋_GB2312" w:hAnsi="仿宋_GB2312" w:eastAsia="仿宋_GB2312" w:cs="仿宋_GB2312"/>
          <w:sz w:val="32"/>
          <w:szCs w:val="32"/>
          <w:lang w:val="en-US" w:eastAsia="zh-CN"/>
        </w:rPr>
        <w:t>因自然灾害、意外事故、疾病造成住院，且收入低于当年防止返贫监测线的；因家庭子女接受义务制教育之外，具有全日制学历教育，在校接受高等教育期间，收入低于返贫监测线的；因自然灾害造成农作物、牲畜损失，导致收入低于当年防止返贫监测线时，农作物、牲畜损失五千元以上部分的进行先行救助。</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自然灾害防贫保险：</w:t>
      </w:r>
      <w:r>
        <w:rPr>
          <w:rFonts w:hint="eastAsia" w:ascii="仿宋_GB2312" w:hAnsi="仿宋_GB2312" w:eastAsia="仿宋_GB2312" w:cs="仿宋_GB2312"/>
          <w:sz w:val="32"/>
          <w:szCs w:val="32"/>
          <w:lang w:val="en-US" w:eastAsia="zh-CN"/>
        </w:rPr>
        <w:t>救助保险救助后，收入</w:t>
      </w:r>
      <w:r>
        <w:rPr>
          <w:rFonts w:hint="eastAsia" w:ascii="仿宋_GB2312" w:hAnsi="仿宋_GB2312" w:cs="仿宋_GB2312"/>
          <w:sz w:val="32"/>
          <w:szCs w:val="32"/>
          <w:lang w:val="en-US" w:eastAsia="zh-CN"/>
        </w:rPr>
        <w:t>仍</w:t>
      </w:r>
      <w:r>
        <w:rPr>
          <w:rFonts w:hint="eastAsia" w:ascii="仿宋_GB2312" w:hAnsi="仿宋_GB2312" w:eastAsia="仿宋_GB2312" w:cs="仿宋_GB2312"/>
          <w:sz w:val="32"/>
          <w:szCs w:val="32"/>
          <w:lang w:val="en-US" w:eastAsia="zh-CN"/>
        </w:rPr>
        <w:t>然低于当年防止返贫监测线时，差额进行补偿。</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小额信贷：</w:t>
      </w:r>
      <w:r>
        <w:rPr>
          <w:rFonts w:hint="eastAsia" w:ascii="仿宋_GB2312" w:hAnsi="仿宋_GB2312" w:eastAsia="仿宋_GB2312" w:cs="仿宋_GB2312"/>
          <w:sz w:val="32"/>
          <w:szCs w:val="32"/>
          <w:lang w:val="en-US" w:eastAsia="zh-CN"/>
        </w:rPr>
        <w:t>支持已脱贫户和边缘易致贫户，以户为单位发放5万元（含）以下的免担保免抵押财政贴息贷款</w:t>
      </w:r>
      <w:r>
        <w:rPr>
          <w:rFonts w:hint="eastAsia" w:ascii="仿宋_GB2312" w:hAnsi="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both"/>
        <w:textAlignment w:val="auto"/>
        <w:outlineLvl w:val="9"/>
        <w:rPr>
          <w:rFonts w:hint="default" w:ascii="仿宋_GB2312" w:hAnsi="仿宋_GB2312" w:eastAsia="仿宋_GB2312" w:cs="仿宋_GB2312"/>
          <w:b/>
          <w:bCs/>
          <w:sz w:val="32"/>
          <w:szCs w:val="32"/>
          <w:lang w:val="en-US" w:eastAsia="zh-CN"/>
        </w:rPr>
      </w:pPr>
      <w:r>
        <w:rPr>
          <w:rFonts w:hint="eastAsia" w:ascii="楷体" w:hAnsi="楷体" w:eastAsia="楷体" w:cs="楷体"/>
          <w:sz w:val="32"/>
          <w:szCs w:val="32"/>
          <w:lang w:val="en-US" w:eastAsia="zh-CN"/>
        </w:rPr>
        <w:t>8.强化资产财产保障。</w:t>
      </w:r>
      <w:r>
        <w:rPr>
          <w:rFonts w:hint="eastAsia" w:ascii="仿宋_GB2312" w:hAnsi="仿宋_GB2312" w:eastAsia="仿宋_GB2312" w:cs="仿宋_GB2312"/>
          <w:sz w:val="32"/>
          <w:szCs w:val="32"/>
          <w:lang w:val="en-US" w:eastAsia="zh-CN"/>
        </w:rPr>
        <w:t>结合农村“三资”清产核查工作，</w:t>
      </w:r>
      <w:r>
        <w:rPr>
          <w:rFonts w:hint="default" w:ascii="仿宋_GB2312" w:hAnsi="仿宋_GB2312" w:eastAsia="仿宋_GB2312" w:cs="仿宋_GB2312"/>
          <w:sz w:val="32"/>
          <w:szCs w:val="32"/>
          <w:lang w:val="en-US" w:eastAsia="zh-CN"/>
        </w:rPr>
        <w:t>加强扶贫项目资产管理，明晰产权关系，确保资产保值增值，持续发挥效益。重点抓好产业扶贫项目资产的后续运营管理，完善带动帮扶机制，提升带动帮扶能力，持续带动监测对象增收。确权到户的扶贫项目资产由其管理和运营，村级组织和有关部门要加强指导和帮扶，使到户扶贫项目资产更好地发挥效益。完善土地承包经营权流转市场，允许监测对象以转包、出租、互换、转让、股份合作等形式流转土地承包经营权，发展多种形式的适度规模经营、社</w:t>
      </w:r>
      <w:r>
        <w:rPr>
          <w:rFonts w:hint="eastAsia" w:ascii="仿宋_GB2312" w:hAnsi="仿宋_GB2312" w:eastAsia="仿宋_GB2312" w:cs="仿宋_GB2312"/>
          <w:sz w:val="32"/>
          <w:szCs w:val="32"/>
          <w:lang w:val="en-US" w:eastAsia="zh-CN"/>
        </w:rPr>
        <w:t>县</w:t>
      </w:r>
      <w:r>
        <w:rPr>
          <w:rFonts w:hint="default" w:ascii="仿宋_GB2312" w:hAnsi="仿宋_GB2312" w:eastAsia="仿宋_GB2312" w:cs="仿宋_GB2312"/>
          <w:sz w:val="32"/>
          <w:szCs w:val="32"/>
          <w:lang w:val="en-US" w:eastAsia="zh-CN"/>
        </w:rPr>
        <w:t>合作和专业合作，拓宽租金、股息、红利等财产性收入渠道。</w:t>
      </w:r>
      <w:r>
        <w:rPr>
          <w:rFonts w:hint="eastAsia" w:ascii="仿宋_GB2312" w:hAnsi="仿宋_GB2312" w:eastAsia="仿宋_GB2312" w:cs="仿宋_GB2312"/>
          <w:b/>
          <w:bCs/>
          <w:sz w:val="32"/>
          <w:szCs w:val="32"/>
          <w:lang w:val="en-US" w:eastAsia="zh-CN"/>
        </w:rPr>
        <w:t>（责任单位：县农业农村局、县乡村振兴局、各乡镇）</w:t>
      </w:r>
    </w:p>
    <w:p>
      <w:pPr>
        <w:pStyle w:val="8"/>
        <w:keepNext w:val="0"/>
        <w:keepLines w:val="0"/>
        <w:pageBreakBefore w:val="0"/>
        <w:widowControl w:val="0"/>
        <w:kinsoku/>
        <w:wordWrap/>
        <w:overflowPunct/>
        <w:topLinePunct w:val="0"/>
        <w:autoSpaceDE/>
        <w:autoSpaceDN/>
        <w:bidi w:val="0"/>
        <w:adjustRightInd/>
        <w:snapToGrid/>
        <w:spacing w:line="660" w:lineRule="exact"/>
        <w:ind w:left="0" w:leftChars="0" w:firstLine="640" w:firstLineChars="200"/>
        <w:jc w:val="left"/>
        <w:textAlignment w:val="auto"/>
        <w:rPr>
          <w:rFonts w:hint="default" w:ascii="仿宋_GB2312" w:hAnsi="仿宋_GB2312" w:eastAsia="仿宋_GB2312" w:cs="仿宋_GB2312"/>
          <w:b/>
          <w:bCs/>
          <w:kern w:val="2"/>
          <w:sz w:val="32"/>
          <w:szCs w:val="32"/>
          <w:lang w:val="en-US" w:eastAsia="zh-CN" w:bidi="ar-SA"/>
        </w:rPr>
      </w:pPr>
      <w:r>
        <w:rPr>
          <w:rFonts w:hint="eastAsia" w:ascii="楷体" w:hAnsi="楷体" w:eastAsia="楷体" w:cs="楷体"/>
          <w:kern w:val="2"/>
          <w:sz w:val="32"/>
          <w:szCs w:val="32"/>
          <w:lang w:val="en-US" w:eastAsia="zh-CN" w:bidi="ar-SA"/>
        </w:rPr>
        <w:t>9.强化社会帮扶保障。</w:t>
      </w:r>
      <w:r>
        <w:rPr>
          <w:rFonts w:hint="eastAsia" w:ascii="仿宋_GB2312" w:hAnsi="仿宋_GB2312" w:eastAsia="仿宋_GB2312" w:cs="仿宋_GB2312"/>
          <w:kern w:val="2"/>
          <w:sz w:val="32"/>
          <w:szCs w:val="32"/>
          <w:lang w:val="en-US" w:eastAsia="zh-CN" w:bidi="ar-SA"/>
        </w:rPr>
        <w:t>进一步落实“单位包村”、“干部包户”、“企业帮扶”等帮扶机制，充分发挥部门企业优势，主动承担帮扶职责，积极配合协助乡镇、村开展消费扶贫、捐资助学、特困家庭救助等工作，群策群力共克时艰。</w:t>
      </w:r>
      <w:r>
        <w:rPr>
          <w:rFonts w:hint="eastAsia" w:ascii="仿宋_GB2312" w:hAnsi="仿宋_GB2312" w:eastAsia="仿宋_GB2312" w:cs="仿宋_GB2312"/>
          <w:b/>
          <w:bCs/>
          <w:kern w:val="2"/>
          <w:sz w:val="32"/>
          <w:szCs w:val="32"/>
          <w:lang w:val="en-US" w:eastAsia="zh-CN" w:bidi="ar-SA"/>
        </w:rPr>
        <w:t>（责任单位：县乡村振兴局、县驻村办、县工商联等）</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rPr>
      </w:pPr>
      <w:r>
        <w:rPr>
          <w:rFonts w:hint="eastAsia" w:ascii="黑体" w:hAnsi="黑体" w:eastAsia="黑体" w:cs="黑体"/>
          <w:lang w:val="en-US" w:eastAsia="zh-CN"/>
        </w:rPr>
        <w:t>五</w:t>
      </w:r>
      <w:r>
        <w:rPr>
          <w:rFonts w:hint="eastAsia" w:ascii="黑体" w:hAnsi="黑体" w:eastAsia="黑体" w:cs="黑体"/>
        </w:rPr>
        <w:t>、工作要求</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eastAsia="仿宋_GB2312"/>
          <w:lang w:val="en-US" w:eastAsia="zh-CN"/>
        </w:rPr>
      </w:pPr>
      <w:r>
        <w:rPr>
          <w:rFonts w:hint="eastAsia" w:ascii="华文楷体" w:hAnsi="华文楷体" w:eastAsia="华文楷体" w:cs="华文楷体"/>
          <w:lang w:eastAsia="zh-CN"/>
        </w:rPr>
        <w:t>（</w:t>
      </w:r>
      <w:r>
        <w:rPr>
          <w:rFonts w:hint="eastAsia" w:ascii="华文楷体" w:hAnsi="华文楷体" w:eastAsia="华文楷体" w:cs="华文楷体"/>
        </w:rPr>
        <w:t>一</w:t>
      </w:r>
      <w:r>
        <w:rPr>
          <w:rFonts w:hint="eastAsia" w:ascii="华文楷体" w:hAnsi="华文楷体" w:eastAsia="华文楷体" w:cs="华文楷体"/>
          <w:lang w:eastAsia="zh-CN"/>
        </w:rPr>
        <w:t>）</w:t>
      </w:r>
      <w:r>
        <w:rPr>
          <w:rFonts w:hint="eastAsia" w:ascii="华文楷体" w:hAnsi="华文楷体" w:eastAsia="华文楷体" w:cs="华文楷体"/>
        </w:rPr>
        <w:t>压实工作责任。</w:t>
      </w:r>
      <w:r>
        <w:rPr>
          <w:rFonts w:hint="eastAsia"/>
        </w:rPr>
        <w:t>各乡镇、县级相关部门要提高政治站位</w:t>
      </w:r>
      <w:r>
        <w:rPr>
          <w:rFonts w:hint="eastAsia"/>
          <w:lang w:eastAsia="zh-CN"/>
        </w:rPr>
        <w:t>，</w:t>
      </w:r>
      <w:r>
        <w:rPr>
          <w:rFonts w:hint="eastAsia"/>
        </w:rPr>
        <w:t>将防止致贫返贫监测和帮扶工作作为巩固脱贫成果、衔接乡村振兴工作的硬举措，细化帮扶措施，建立健全动态帮扶机制</w:t>
      </w:r>
      <w:r>
        <w:rPr>
          <w:rFonts w:hint="eastAsia"/>
          <w:lang w:eastAsia="zh-CN"/>
        </w:rPr>
        <w:t>。</w:t>
      </w:r>
      <w:r>
        <w:rPr>
          <w:rFonts w:hint="eastAsia"/>
        </w:rPr>
        <w:t>要按照县负主体责任、乡镇负直接责任、行业部门分工负责的要求，制定具体措施，抓好组织实施和监督检查。</w:t>
      </w:r>
      <w:r>
        <w:rPr>
          <w:rFonts w:hint="eastAsia"/>
          <w:lang w:val="en-US" w:eastAsia="zh-CN"/>
        </w:rPr>
        <w:t>各乡镇要在4月20日前完成四类重点监测对象纸质档案建立和</w:t>
      </w:r>
      <w:r>
        <w:rPr>
          <w:rFonts w:hint="eastAsia"/>
        </w:rPr>
        <w:t>Ⅰ级监测对象</w:t>
      </w:r>
      <w:r>
        <w:rPr>
          <w:rFonts w:hint="eastAsia"/>
          <w:lang w:val="en-US" w:eastAsia="zh-CN"/>
        </w:rPr>
        <w:t>信息录入工作。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华文楷体" w:hAnsi="华文楷体" w:eastAsia="华文楷体" w:cs="华文楷体"/>
          <w:lang w:eastAsia="zh-CN"/>
        </w:rPr>
        <w:t>（</w:t>
      </w:r>
      <w:r>
        <w:rPr>
          <w:rFonts w:hint="eastAsia" w:ascii="华文楷体" w:hAnsi="华文楷体" w:eastAsia="华文楷体" w:cs="华文楷体"/>
        </w:rPr>
        <w:t>二</w:t>
      </w:r>
      <w:r>
        <w:rPr>
          <w:rFonts w:hint="eastAsia" w:ascii="华文楷体" w:hAnsi="华文楷体" w:eastAsia="华文楷体" w:cs="华文楷体"/>
          <w:lang w:eastAsia="zh-CN"/>
        </w:rPr>
        <w:t>）</w:t>
      </w:r>
      <w:r>
        <w:rPr>
          <w:rFonts w:hint="eastAsia" w:ascii="华文楷体" w:hAnsi="华文楷体" w:eastAsia="华文楷体" w:cs="华文楷体"/>
        </w:rPr>
        <w:t>加强统筹协调。</w:t>
      </w:r>
      <w:r>
        <w:rPr>
          <w:rFonts w:hint="eastAsia"/>
        </w:rPr>
        <w:t>县</w:t>
      </w:r>
      <w:r>
        <w:rPr>
          <w:rFonts w:hint="eastAsia"/>
          <w:lang w:val="en-US" w:eastAsia="zh-CN"/>
        </w:rPr>
        <w:t>乡村振兴局</w:t>
      </w:r>
      <w:r>
        <w:rPr>
          <w:rFonts w:hint="eastAsia"/>
        </w:rPr>
        <w:t>综合统筹，组织相关行业部门和乡镇分级分类解决问题，形成稳定脱贫长效机制。县级行业部门要及时完成县</w:t>
      </w:r>
      <w:r>
        <w:rPr>
          <w:rFonts w:hint="eastAsia"/>
          <w:lang w:val="en-US" w:eastAsia="zh-CN"/>
        </w:rPr>
        <w:t>乡村振兴局</w:t>
      </w:r>
      <w:r>
        <w:rPr>
          <w:rFonts w:hint="eastAsia"/>
        </w:rPr>
        <w:t>交办的任务清单，及时制定对标补短和帮扶救助措施并落实落地。乡镇负责做好监测对象的摸底和动态监测，落实预警监测对象的对标补短和帮扶救助工作。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华文楷体" w:hAnsi="华文楷体" w:eastAsia="华文楷体" w:cs="华文楷体"/>
        </w:rPr>
        <w:t>（三）加强信息共享。</w:t>
      </w:r>
      <w:r>
        <w:rPr>
          <w:rFonts w:hint="eastAsia"/>
        </w:rPr>
        <w:t>依托精准扶贫精准脱贫现有成果，充分发挥全国</w:t>
      </w:r>
      <w:r>
        <w:rPr>
          <w:rFonts w:hint="eastAsia"/>
          <w:lang w:val="en-US" w:eastAsia="zh-CN"/>
        </w:rPr>
        <w:t>防返贫</w:t>
      </w:r>
      <w:r>
        <w:rPr>
          <w:rFonts w:hint="eastAsia"/>
        </w:rPr>
        <w:t>信息</w:t>
      </w:r>
      <w:r>
        <w:rPr>
          <w:rFonts w:hint="eastAsia"/>
          <w:lang w:val="en-US" w:eastAsia="zh-CN"/>
        </w:rPr>
        <w:t>监测</w:t>
      </w:r>
      <w:r>
        <w:rPr>
          <w:rFonts w:hint="eastAsia"/>
        </w:rPr>
        <w:t>系统和村</w:t>
      </w:r>
      <w:r>
        <w:rPr>
          <w:rFonts w:hint="eastAsia"/>
          <w:lang w:eastAsia="zh-CN"/>
        </w:rPr>
        <w:t>“</w:t>
      </w:r>
      <w:r>
        <w:rPr>
          <w:rFonts w:hint="eastAsia"/>
        </w:rPr>
        <w:t>两委</w:t>
      </w:r>
      <w:r>
        <w:rPr>
          <w:rFonts w:hint="eastAsia"/>
          <w:lang w:eastAsia="zh-CN"/>
        </w:rPr>
        <w:t>”</w:t>
      </w:r>
      <w:r>
        <w:rPr>
          <w:rFonts w:hint="eastAsia"/>
        </w:rPr>
        <w:t>干部</w:t>
      </w:r>
      <w:r>
        <w:rPr>
          <w:rFonts w:hint="eastAsia"/>
          <w:lang w:eastAsia="zh-CN"/>
        </w:rPr>
        <w:t>、</w:t>
      </w:r>
      <w:r>
        <w:rPr>
          <w:rFonts w:hint="eastAsia"/>
        </w:rPr>
        <w:t>第一书记、驻村工作队作用，加强监测对象家庭情况、收入状况等信息共享，防止重复入户采集信息，减少不必要的填表报数，力戒形式主义。</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华文楷体" w:hAnsi="华文楷体" w:eastAsia="华文楷体" w:cs="华文楷体"/>
        </w:rPr>
        <w:t>（四）鼓励探索创新。</w:t>
      </w:r>
      <w:r>
        <w:rPr>
          <w:rFonts w:hint="eastAsia"/>
        </w:rPr>
        <w:t>各级各部门要因地制宜探索创新，及时总结推广好经验好做法，及时发现和解决防止返贫监测和帮扶机制实施过程中的苗头性倾向性问题，在实践中不断完善机制，改进工作，提高成效。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rPr>
      </w:pPr>
      <w:r>
        <w:rPr>
          <w:rFonts w:hint="eastAsia" w:ascii="华文楷体" w:hAnsi="华文楷体" w:eastAsia="华文楷体" w:cs="华文楷体"/>
        </w:rPr>
        <w:t>（五）加强督查指导</w:t>
      </w:r>
      <w:r>
        <w:rPr>
          <w:rFonts w:hint="eastAsia"/>
        </w:rPr>
        <w:t>。各乡镇主要领导对监测对象要逐户督导，检查帮扶情况，评估返贫致贫风险点、薄弱点，及时完善政策措施。县</w:t>
      </w:r>
      <w:r>
        <w:rPr>
          <w:rFonts w:hint="eastAsia"/>
          <w:lang w:val="en-US" w:eastAsia="zh-CN"/>
        </w:rPr>
        <w:t>乡村振兴局</w:t>
      </w:r>
      <w:r>
        <w:rPr>
          <w:rFonts w:hint="eastAsia"/>
        </w:rPr>
        <w:t>建立每季度定期督导制度，及时发现救助帮扶不力、工作不实、弄虚作假等问题；对检查发现问题较多的乡镇，约谈其主要领导和分管领导；对问题突出、影响恶劣的，要严肃问责。</w:t>
      </w:r>
    </w:p>
    <w:p>
      <w:pPr>
        <w:pStyle w:val="5"/>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p>
    <w:p>
      <w:pPr>
        <w:pStyle w:val="6"/>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1.健全防止返贫动态监测和帮扶机制有关工作程序</w:t>
      </w:r>
    </w:p>
    <w:p>
      <w:pPr>
        <w:numPr>
          <w:ilvl w:val="0"/>
          <w:numId w:val="0"/>
        </w:numPr>
        <w:ind w:firstLine="640" w:firstLineChars="200"/>
        <w:rPr>
          <w:rFonts w:hint="eastAsia" w:ascii="仿宋" w:hAnsi="仿宋" w:eastAsia="仿宋" w:cs="仿宋"/>
          <w:lang w:val="en-US" w:eastAsia="zh-CN"/>
        </w:rPr>
      </w:pPr>
      <w:r>
        <w:rPr>
          <w:rFonts w:hint="eastAsia" w:ascii="仿宋" w:hAnsi="仿宋" w:eastAsia="仿宋" w:cs="仿宋"/>
          <w:lang w:val="en-US" w:eastAsia="zh-CN"/>
        </w:rPr>
        <w:t>2.个人承诺授权参考文本</w:t>
      </w:r>
    </w:p>
    <w:p>
      <w:pPr>
        <w:pStyle w:val="5"/>
        <w:ind w:firstLine="640" w:firstLineChars="200"/>
        <w:rPr>
          <w:rFonts w:hint="eastAsia" w:ascii="仿宋_GB2312" w:hAnsi="仿宋_GB2312" w:eastAsia="仿宋_GB2312" w:cs="仿宋_GB2312"/>
          <w:sz w:val="32"/>
          <w:szCs w:val="32"/>
          <w:lang w:eastAsia="zh-CN"/>
        </w:rPr>
      </w:pPr>
      <w:r>
        <w:rPr>
          <w:rFonts w:hint="eastAsia" w:ascii="仿宋" w:hAnsi="仿宋" w:eastAsia="仿宋" w:cs="仿宋"/>
          <w:lang w:val="en-US" w:eastAsia="zh-CN"/>
        </w:rPr>
        <w:t>3.防止返贫动态监测排查表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中共</w:t>
      </w:r>
      <w:r>
        <w:rPr>
          <w:rFonts w:hint="eastAsia" w:ascii="仿宋_GB2312" w:hAnsi="仿宋_GB2312" w:eastAsia="仿宋_GB2312" w:cs="仿宋_GB2312"/>
          <w:sz w:val="32"/>
          <w:szCs w:val="32"/>
          <w:lang w:eastAsia="zh-CN"/>
        </w:rPr>
        <w:t>右玉</w:t>
      </w:r>
      <w:r>
        <w:rPr>
          <w:rFonts w:hint="eastAsia" w:ascii="仿宋_GB2312" w:hAnsi="仿宋_GB2312" w:cs="仿宋_GB2312"/>
          <w:sz w:val="32"/>
          <w:szCs w:val="32"/>
          <w:lang w:val="en-US" w:eastAsia="zh-CN"/>
        </w:rPr>
        <w:t>县委农村工作领导小组办公室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lang w:val="en-US" w:eastAsia="zh-CN"/>
        </w:rPr>
        <w:t>年</w:t>
      </w: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lang w:val="en-US" w:eastAsia="zh-CN"/>
        </w:rPr>
        <w:t>月</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sz w:val="28"/>
          <w:szCs w:val="28"/>
          <w:lang w:eastAsia="zh-CN"/>
        </w:rPr>
      </w:pPr>
    </w:p>
    <w:p>
      <w:pPr>
        <w:pStyle w:val="5"/>
        <w:rPr>
          <w:rFonts w:hint="eastAsia" w:ascii="仿宋_GB2312" w:hAnsi="仿宋_GB2312" w:eastAsia="仿宋_GB2312" w:cs="仿宋_GB2312"/>
          <w:sz w:val="28"/>
          <w:szCs w:val="28"/>
          <w:lang w:eastAsia="zh-CN"/>
        </w:rPr>
      </w:pPr>
    </w:p>
    <w:p>
      <w:pPr>
        <w:pStyle w:val="6"/>
        <w:rPr>
          <w:rFonts w:hint="eastAsia" w:ascii="仿宋_GB2312" w:hAnsi="仿宋_GB2312" w:eastAsia="仿宋_GB2312" w:cs="仿宋_GB2312"/>
          <w:sz w:val="28"/>
          <w:szCs w:val="28"/>
          <w:lang w:eastAsia="zh-CN"/>
        </w:rPr>
      </w:pPr>
    </w:p>
    <w:p>
      <w:pPr>
        <w:rPr>
          <w:rFonts w:hint="eastAsia" w:ascii="仿宋_GB2312" w:hAnsi="仿宋_GB2312" w:eastAsia="仿宋_GB2312" w:cs="仿宋_GB2312"/>
          <w:sz w:val="28"/>
          <w:szCs w:val="28"/>
          <w:lang w:eastAsia="zh-CN"/>
        </w:rPr>
      </w:pPr>
    </w:p>
    <w:p>
      <w:pPr>
        <w:pStyle w:val="2"/>
        <w:rPr>
          <w:rFonts w:hint="eastAsia" w:ascii="仿宋_GB2312" w:hAnsi="仿宋_GB2312" w:eastAsia="仿宋_GB2312" w:cs="仿宋_GB2312"/>
          <w:sz w:val="28"/>
          <w:szCs w:val="28"/>
          <w:lang w:eastAsia="zh-CN"/>
        </w:rPr>
      </w:pPr>
    </w:p>
    <w:p>
      <w:pPr>
        <w:rPr>
          <w:rFonts w:hint="eastAsia" w:ascii="仿宋_GB2312" w:hAnsi="仿宋_GB2312" w:eastAsia="仿宋_GB2312" w:cs="仿宋_GB2312"/>
          <w:sz w:val="28"/>
          <w:szCs w:val="28"/>
          <w:lang w:eastAsia="zh-CN"/>
        </w:rPr>
      </w:pPr>
    </w:p>
    <w:p>
      <w:pPr>
        <w:pStyle w:val="2"/>
        <w:rPr>
          <w:rFonts w:hint="eastAsia" w:ascii="仿宋_GB2312" w:hAnsi="仿宋_GB2312" w:eastAsia="仿宋_GB2312" w:cs="仿宋_GB2312"/>
          <w:sz w:val="28"/>
          <w:szCs w:val="28"/>
          <w:lang w:eastAsia="zh-CN"/>
        </w:rPr>
      </w:pPr>
    </w:p>
    <w:p>
      <w:pPr>
        <w:rPr>
          <w:rFonts w:hint="eastAsia" w:ascii="仿宋_GB2312" w:hAnsi="仿宋_GB2312" w:eastAsia="仿宋_GB2312" w:cs="仿宋_GB2312"/>
          <w:sz w:val="28"/>
          <w:szCs w:val="28"/>
          <w:lang w:eastAsia="zh-CN"/>
        </w:rPr>
      </w:pPr>
    </w:p>
    <w:p>
      <w:pPr>
        <w:pStyle w:val="2"/>
        <w:rPr>
          <w:rFonts w:hint="eastAsia" w:ascii="仿宋_GB2312" w:hAnsi="仿宋_GB2312" w:eastAsia="仿宋_GB2312" w:cs="仿宋_GB2312"/>
          <w:sz w:val="28"/>
          <w:szCs w:val="28"/>
          <w:lang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黑体_GBK" w:hAnsi="方正黑体_GBK" w:eastAsia="方正黑体_GBK" w:cs="方正黑体_GBK"/>
          <w:b w:val="0"/>
          <w:bCs/>
          <w:color w:val="auto"/>
          <w:sz w:val="32"/>
          <w:szCs w:val="32"/>
          <w:highlight w:val="none"/>
          <w:lang w:val="en-US" w:eastAsia="zh-CN"/>
        </w:rPr>
      </w:pPr>
      <w:bookmarkStart w:id="0" w:name="_GoBack"/>
      <w:bookmarkEnd w:id="0"/>
      <w:r>
        <w:rPr>
          <w:rFonts w:hint="eastAsia" w:ascii="方正黑体_GBK" w:hAnsi="方正黑体_GBK" w:eastAsia="方正黑体_GBK" w:cs="方正黑体_GBK"/>
          <w:b w:val="0"/>
          <w:bCs/>
          <w:color w:val="auto"/>
          <w:sz w:val="32"/>
          <w:szCs w:val="32"/>
          <w:highlight w:val="none"/>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firstLine="0"/>
        <w:jc w:val="center"/>
        <w:textAlignment w:val="auto"/>
        <w:rPr>
          <w:rFonts w:hint="eastAsia" w:ascii="方正小标宋简体" w:hAnsi="方正小标宋简体" w:eastAsia="方正小标宋简体" w:cs="方正小标宋简体"/>
          <w:b w:val="0"/>
          <w:bCs/>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CN"/>
        </w:rPr>
        <w:t>防止返贫动态监测和帮扶机制</w:t>
      </w:r>
    </w:p>
    <w:p>
      <w:pPr>
        <w:keepNext w:val="0"/>
        <w:keepLines w:val="0"/>
        <w:pageBreakBefore w:val="0"/>
        <w:widowControl w:val="0"/>
        <w:kinsoku/>
        <w:wordWrap/>
        <w:overflowPunct/>
        <w:topLinePunct w:val="0"/>
        <w:autoSpaceDE/>
        <w:autoSpaceDN/>
        <w:bidi w:val="0"/>
        <w:adjustRightInd/>
        <w:snapToGrid/>
        <w:spacing w:line="600" w:lineRule="exact"/>
        <w:ind w:left="0" w:firstLine="0"/>
        <w:jc w:val="center"/>
        <w:textAlignment w:val="auto"/>
        <w:rPr>
          <w:rFonts w:hint="eastAsia" w:ascii="方正小标宋简体" w:hAnsi="方正小标宋简体" w:eastAsia="方正小标宋简体" w:cs="方正小标宋简体"/>
          <w:b w:val="0"/>
          <w:bCs/>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CN"/>
        </w:rPr>
        <w:t>有关工作程序</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Times New Roman" w:hAnsi="Times New Roman" w:eastAsia="仿宋_GB2312" w:cs="Times New Roman"/>
          <w:b w:val="0"/>
          <w:bCs/>
          <w:color w:val="auto"/>
          <w:sz w:val="32"/>
          <w:szCs w:val="32"/>
          <w:highlight w:val="none"/>
          <w:lang w:val="en-US" w:eastAsia="zh-CN"/>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监测对象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Times New Roman" w:hAnsi="Times New Roman" w:eastAsia="仿宋_GB2312" w:cs="Times New Roman"/>
          <w:b w:val="0"/>
          <w:bCs/>
          <w:color w:val="auto"/>
          <w:sz w:val="32"/>
          <w:szCs w:val="32"/>
          <w:highlight w:val="none"/>
          <w:lang w:val="en-US" w:eastAsia="zh-CN"/>
        </w:rPr>
        <w:t>监测对象以户为单位确定，家庭成员原则上以公安部门户籍人口为主，对户在人不在、人在户不在的情况以实际共同生活为主。易地扶贫搬迁及同步搬迁等已转为城镇户籍但没有享受到城镇居民相关保障措施和待遇的人口，也可纳入监测对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二、认定程序</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default" w:ascii="楷体_GB2312" w:hAnsi="楷体_GB2312" w:eastAsia="楷体_GB2312" w:cs="楷体_GB2312"/>
          <w:b/>
          <w:bCs w:val="0"/>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（一）申请方式</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1、自主申请。</w:t>
      </w:r>
      <w:r>
        <w:rPr>
          <w:rFonts w:hint="eastAsia" w:ascii="Times New Roman" w:hAnsi="Times New Roman" w:eastAsia="仿宋_GB2312" w:cs="Times New Roman"/>
          <w:b w:val="0"/>
          <w:bCs/>
          <w:color w:val="auto"/>
          <w:sz w:val="32"/>
          <w:szCs w:val="32"/>
          <w:highlight w:val="none"/>
          <w:lang w:val="en-US" w:eastAsia="zh-CN"/>
        </w:rPr>
        <w:t>农户主动向户籍所在村村委会提交申请，据实填写申请材料，并授权相关机构依法查询家庭资产等信息。自主申请方式不限于书面申请。</w:t>
      </w:r>
    </w:p>
    <w:p>
      <w:pPr>
        <w:keepNext w:val="0"/>
        <w:keepLines w:val="0"/>
        <w:pageBreakBefore w:val="0"/>
        <w:widowControl w:val="0"/>
        <w:kinsoku/>
        <w:wordWrap/>
        <w:overflowPunct/>
        <w:topLinePunct w:val="0"/>
        <w:autoSpaceDE/>
        <w:autoSpaceDN/>
        <w:bidi w:val="0"/>
        <w:adjustRightInd/>
        <w:snapToGrid/>
        <w:spacing w:line="600" w:lineRule="exact"/>
        <w:ind w:left="0" w:firstLine="643" w:firstLineChars="200"/>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2、代理申请。</w:t>
      </w:r>
      <w:r>
        <w:rPr>
          <w:rFonts w:hint="eastAsia" w:ascii="Times New Roman" w:hAnsi="Times New Roman" w:eastAsia="仿宋_GB2312" w:cs="Times New Roman"/>
          <w:b w:val="0"/>
          <w:bCs/>
          <w:color w:val="auto"/>
          <w:sz w:val="32"/>
          <w:szCs w:val="32"/>
          <w:highlight w:val="none"/>
          <w:lang w:val="en-US" w:eastAsia="zh-CN"/>
        </w:rPr>
        <w:t>自主申请确实存在困难的农户可由村民小组或村委会代为申请。</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（二）信息比对。</w:t>
      </w:r>
      <w:r>
        <w:rPr>
          <w:rFonts w:hint="eastAsia" w:ascii="Times New Roman" w:hAnsi="Times New Roman" w:eastAsia="仿宋_GB2312" w:cs="Times New Roman"/>
          <w:b w:val="0"/>
          <w:bCs/>
          <w:color w:val="auto"/>
          <w:sz w:val="32"/>
          <w:szCs w:val="32"/>
          <w:highlight w:val="none"/>
          <w:lang w:val="en-US" w:eastAsia="zh-CN"/>
        </w:rPr>
        <w:t>村级及时收集汇总签订承诺授权书的农户信息，通过乡镇统一报送县乡村振兴</w:t>
      </w:r>
      <w:r>
        <w:rPr>
          <w:rFonts w:hint="eastAsia" w:ascii="Times New Roman" w:hAnsi="Times New Roman" w:cs="Times New Roman"/>
          <w:b w:val="0"/>
          <w:bCs/>
          <w:color w:val="auto"/>
          <w:sz w:val="32"/>
          <w:szCs w:val="32"/>
          <w:highlight w:val="none"/>
          <w:lang w:val="en-US" w:eastAsia="zh-CN"/>
        </w:rPr>
        <w:t>局</w:t>
      </w:r>
      <w:r>
        <w:rPr>
          <w:rFonts w:hint="eastAsia" w:ascii="Times New Roman" w:hAnsi="Times New Roman" w:eastAsia="仿宋_GB2312" w:cs="Times New Roman"/>
          <w:b w:val="0"/>
          <w:bCs/>
          <w:color w:val="auto"/>
          <w:sz w:val="32"/>
          <w:szCs w:val="32"/>
          <w:highlight w:val="none"/>
          <w:lang w:val="en-US" w:eastAsia="zh-CN"/>
        </w:rPr>
        <w:t>。县乡村振兴</w:t>
      </w:r>
      <w:r>
        <w:rPr>
          <w:rFonts w:hint="eastAsia" w:ascii="Times New Roman" w:hAnsi="Times New Roman" w:cs="Times New Roman"/>
          <w:b w:val="0"/>
          <w:bCs/>
          <w:color w:val="auto"/>
          <w:sz w:val="32"/>
          <w:szCs w:val="32"/>
          <w:highlight w:val="none"/>
          <w:lang w:val="en-US" w:eastAsia="zh-CN"/>
        </w:rPr>
        <w:t>局</w:t>
      </w:r>
      <w:r>
        <w:rPr>
          <w:rFonts w:hint="eastAsia" w:ascii="Times New Roman" w:hAnsi="Times New Roman" w:eastAsia="仿宋_GB2312" w:cs="Times New Roman"/>
          <w:b w:val="0"/>
          <w:bCs/>
          <w:color w:val="auto"/>
          <w:sz w:val="32"/>
          <w:szCs w:val="32"/>
          <w:highlight w:val="none"/>
          <w:lang w:val="en-US" w:eastAsia="zh-CN"/>
        </w:rPr>
        <w:t>牵头，联合公安、财政、自然资源、市场监管、银保监、教育等相关行业部门开展信息比对，反馈比对结果。</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（三）村级初选。</w:t>
      </w:r>
      <w:r>
        <w:rPr>
          <w:rFonts w:hint="eastAsia" w:ascii="Times New Roman" w:hAnsi="Times New Roman" w:eastAsia="仿宋_GB2312" w:cs="Times New Roman"/>
          <w:b w:val="0"/>
          <w:bCs/>
          <w:color w:val="auto"/>
          <w:sz w:val="32"/>
          <w:szCs w:val="32"/>
          <w:highlight w:val="none"/>
          <w:lang w:val="en-US" w:eastAsia="zh-CN"/>
        </w:rPr>
        <w:t>村级根据比对反馈信息，结合家庭基本情况、返贫致贫风险等综合研判，通过民主评议确定初选监测对象并在村内进行公示，公示时间不少于</w:t>
      </w:r>
      <w:r>
        <w:rPr>
          <w:rFonts w:hint="default" w:ascii="Times New Roman" w:hAnsi="Times New Roman" w:eastAsia="仿宋_GB2312" w:cs="Times New Roman"/>
          <w:b w:val="0"/>
          <w:bCs/>
          <w:color w:val="auto"/>
          <w:sz w:val="32"/>
          <w:szCs w:val="32"/>
          <w:highlight w:val="none"/>
          <w:lang w:val="en" w:eastAsia="zh-CN"/>
        </w:rPr>
        <w:t>7</w:t>
      </w:r>
      <w:r>
        <w:rPr>
          <w:rFonts w:hint="eastAsia" w:ascii="Times New Roman" w:hAnsi="Times New Roman" w:eastAsia="仿宋_GB2312" w:cs="Times New Roman"/>
          <w:b w:val="0"/>
          <w:bCs/>
          <w:color w:val="auto"/>
          <w:sz w:val="32"/>
          <w:szCs w:val="32"/>
          <w:highlight w:val="none"/>
          <w:lang w:val="en-US" w:eastAsia="zh-CN"/>
        </w:rPr>
        <w:t>天。</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pacing w:val="-6"/>
          <w:sz w:val="32"/>
          <w:szCs w:val="32"/>
          <w:highlight w:val="none"/>
          <w:lang w:val="en-US" w:eastAsia="zh-CN"/>
        </w:rPr>
        <w:t>（四）乡（镇）确定。</w:t>
      </w:r>
      <w:r>
        <w:rPr>
          <w:rFonts w:hint="eastAsia" w:ascii="Times New Roman" w:hAnsi="Times New Roman" w:eastAsia="仿宋_GB2312" w:cs="Times New Roman"/>
          <w:b w:val="0"/>
          <w:bCs/>
          <w:color w:val="auto"/>
          <w:spacing w:val="-6"/>
          <w:sz w:val="32"/>
          <w:szCs w:val="32"/>
          <w:highlight w:val="none"/>
          <w:lang w:val="en-US" w:eastAsia="zh-CN"/>
        </w:rPr>
        <w:t>乡镇对村级上报的公示无异议的初选监测对象及时审核，确定最终监测对象，并在所在行政村公告。</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（五）录入建档。</w:t>
      </w:r>
      <w:r>
        <w:rPr>
          <w:rFonts w:hint="eastAsia" w:ascii="Times New Roman" w:hAnsi="Times New Roman" w:eastAsia="仿宋_GB2312" w:cs="Times New Roman"/>
          <w:b w:val="0"/>
          <w:bCs/>
          <w:color w:val="auto"/>
          <w:sz w:val="32"/>
          <w:szCs w:val="32"/>
          <w:highlight w:val="none"/>
          <w:lang w:val="en-US" w:eastAsia="zh-CN"/>
        </w:rPr>
        <w:t>乡镇将监测对象名单报县乡村振兴</w:t>
      </w:r>
      <w:r>
        <w:rPr>
          <w:rFonts w:hint="eastAsia" w:ascii="Times New Roman" w:hAnsi="Times New Roman" w:cs="Times New Roman"/>
          <w:b w:val="0"/>
          <w:bCs/>
          <w:color w:val="auto"/>
          <w:sz w:val="32"/>
          <w:szCs w:val="32"/>
          <w:highlight w:val="none"/>
          <w:lang w:val="en-US" w:eastAsia="zh-CN"/>
        </w:rPr>
        <w:t>局</w:t>
      </w:r>
      <w:r>
        <w:rPr>
          <w:rFonts w:hint="eastAsia" w:ascii="Times New Roman" w:hAnsi="Times New Roman" w:eastAsia="仿宋_GB2312" w:cs="Times New Roman"/>
          <w:b w:val="0"/>
          <w:bCs/>
          <w:color w:val="auto"/>
          <w:sz w:val="32"/>
          <w:szCs w:val="32"/>
          <w:highlight w:val="none"/>
          <w:lang w:val="en-US" w:eastAsia="zh-CN"/>
        </w:rPr>
        <w:t>备案，并将监测对象信息录入全国防返贫监测信息系统，同时建立村级监测帮扶档案。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三、风险消除程序</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（一）入户核查。</w:t>
      </w:r>
      <w:r>
        <w:rPr>
          <w:rFonts w:hint="eastAsia" w:ascii="Times New Roman" w:hAnsi="Times New Roman" w:eastAsia="仿宋_GB2312" w:cs="Times New Roman"/>
          <w:b w:val="0"/>
          <w:bCs/>
          <w:color w:val="auto"/>
          <w:sz w:val="32"/>
          <w:szCs w:val="32"/>
          <w:highlight w:val="none"/>
          <w:lang w:val="en-US" w:eastAsia="zh-CN"/>
        </w:rPr>
        <w:t>通过入户核查，综合评判，对监测对象中已经稳定达到风险消除标准的户，提议风险消除。</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（二）村内初审。</w:t>
      </w:r>
      <w:r>
        <w:rPr>
          <w:rFonts w:hint="eastAsia" w:ascii="Times New Roman" w:hAnsi="Times New Roman" w:eastAsia="仿宋_GB2312" w:cs="Times New Roman"/>
          <w:b w:val="0"/>
          <w:bCs/>
          <w:color w:val="auto"/>
          <w:sz w:val="32"/>
          <w:szCs w:val="32"/>
          <w:highlight w:val="none"/>
          <w:lang w:val="en-US" w:eastAsia="zh-CN"/>
        </w:rPr>
        <w:t>行政村召开村民代表会议，对初步确定的风险消除名单进行初审。评议结果经风险消除户、村“两委”主干（有驻村工作队的村增加驻村工作队队长或第一书记）签字后在村内公示（不少于7天），公示无异议后报乡（镇）审定。</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（三）乡（镇）审定。</w:t>
      </w:r>
      <w:r>
        <w:rPr>
          <w:rFonts w:hint="eastAsia" w:ascii="Times New Roman" w:hAnsi="Times New Roman" w:eastAsia="仿宋_GB2312" w:cs="Times New Roman"/>
          <w:b w:val="0"/>
          <w:bCs/>
          <w:color w:val="auto"/>
          <w:sz w:val="32"/>
          <w:szCs w:val="32"/>
          <w:highlight w:val="none"/>
          <w:lang w:val="en-US" w:eastAsia="zh-CN"/>
        </w:rPr>
        <w:t>乡（镇）政府组织人员对风险消除户进行审核。审核通过后，在监测对象所在行政村进行公告，报县乡村振兴主管部门备案，并在全国防返贫动态监测系统中进行信息标注。</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（四）其他有关事项。</w:t>
      </w:r>
      <w:r>
        <w:rPr>
          <w:rFonts w:hint="eastAsia" w:ascii="Times New Roman" w:hAnsi="Times New Roman" w:eastAsia="仿宋_GB2312" w:cs="Times New Roman"/>
          <w:b w:val="0"/>
          <w:bCs/>
          <w:color w:val="auto"/>
          <w:sz w:val="32"/>
          <w:szCs w:val="32"/>
          <w:highlight w:val="none"/>
          <w:lang w:val="en-US" w:eastAsia="zh-CN"/>
        </w:rPr>
        <w:t>针对标注风险消除后再次出现返致贫风险的，按照监测对象认定程序重新进行认定，并纳入监测帮扶范围。</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四、信息比对预警程序</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楷体_GB2312" w:hAnsi="楷体_GB2312" w:eastAsia="楷体_GB2312" w:cs="楷体_GB2312"/>
          <w:b/>
          <w:bCs w:val="0"/>
          <w:color w:val="auto"/>
          <w:sz w:val="32"/>
          <w:szCs w:val="32"/>
          <w:highlight w:val="none"/>
          <w:lang w:val="en-US" w:eastAsia="zh-CN"/>
        </w:rPr>
        <w:t>（一）比对分析。</w:t>
      </w:r>
      <w:r>
        <w:rPr>
          <w:rFonts w:hint="eastAsia" w:ascii="Times New Roman" w:hAnsi="Times New Roman" w:eastAsia="仿宋_GB2312" w:cs="Times New Roman"/>
          <w:b w:val="0"/>
          <w:bCs/>
          <w:color w:val="auto"/>
          <w:sz w:val="32"/>
          <w:szCs w:val="32"/>
          <w:highlight w:val="none"/>
          <w:lang w:val="en-US" w:eastAsia="zh-CN"/>
        </w:rPr>
        <w:t>原则上，每季度县级相关行业部门通过数据比对分析，发现教育、医疗等支出骤增户，新增住房、饮水困难户，新增残疾人户，发生重大交通事故户，各类受灾户等致贫返贫风险点，主动向县级乡村振兴主管部门反馈致贫返贫预警线索。</w:t>
      </w:r>
    </w:p>
    <w:p>
      <w:pPr>
        <w:keepNext w:val="0"/>
        <w:keepLines w:val="0"/>
        <w:pageBreakBefore w:val="0"/>
        <w:widowControl w:val="0"/>
        <w:kinsoku/>
        <w:wordWrap/>
        <w:overflowPunct/>
        <w:topLinePunct w:val="0"/>
        <w:autoSpaceDE/>
        <w:autoSpaceDN/>
        <w:bidi w:val="0"/>
        <w:adjustRightInd/>
        <w:snapToGrid/>
        <w:spacing w:line="600" w:lineRule="exact"/>
        <w:ind w:left="0" w:firstLine="641"/>
        <w:jc w:val="both"/>
        <w:textAlignment w:val="auto"/>
        <w:rPr>
          <w:rFonts w:hint="eastAsia" w:ascii="Times New Roman" w:hAnsi="Times New Roman" w:eastAsia="仿宋_GB2312" w:cs="Times New Roman"/>
          <w:b w:val="0"/>
          <w:bCs/>
          <w:color w:val="auto"/>
          <w:sz w:val="32"/>
          <w:szCs w:val="32"/>
          <w:highlight w:val="none"/>
          <w:lang w:val="en-US" w:eastAsia="zh-CN"/>
        </w:rPr>
        <w:sectPr>
          <w:footerReference r:id="rId3" w:type="default"/>
          <w:pgSz w:w="11906" w:h="16838"/>
          <w:pgMar w:top="1440" w:right="1576" w:bottom="1440" w:left="1576" w:header="851" w:footer="992" w:gutter="0"/>
          <w:lnNumType w:countBy="0"/>
          <w:pgNumType w:fmt="numberInDash"/>
          <w:cols w:space="0" w:num="1"/>
          <w:rtlGutter w:val="0"/>
          <w:vAlign w:val="top"/>
          <w:docGrid w:type="lines" w:linePitch="312" w:charSpace="0"/>
        </w:sectPr>
      </w:pPr>
      <w:r>
        <w:rPr>
          <w:rFonts w:hint="eastAsia" w:ascii="楷体_GB2312" w:hAnsi="楷体_GB2312" w:eastAsia="楷体_GB2312" w:cs="楷体_GB2312"/>
          <w:b/>
          <w:bCs w:val="0"/>
          <w:color w:val="auto"/>
          <w:sz w:val="32"/>
          <w:szCs w:val="32"/>
          <w:highlight w:val="none"/>
          <w:lang w:val="en-US" w:eastAsia="zh-CN"/>
        </w:rPr>
        <w:t>（二）核实确认。</w:t>
      </w:r>
      <w:r>
        <w:rPr>
          <w:rFonts w:hint="eastAsia" w:ascii="Times New Roman" w:hAnsi="Times New Roman" w:eastAsia="仿宋_GB2312" w:cs="Times New Roman"/>
          <w:b w:val="0"/>
          <w:bCs/>
          <w:color w:val="auto"/>
          <w:sz w:val="32"/>
          <w:szCs w:val="32"/>
          <w:highlight w:val="none"/>
          <w:lang w:val="en-US" w:eastAsia="zh-CN"/>
        </w:rPr>
        <w:t>县级乡村振兴部门将各部门筛查反馈的预警线索逐级下发到村，组织开展实地核实，对符合条件的按照程序认定为监测对</w:t>
      </w:r>
    </w:p>
    <w:p>
      <w:pPr>
        <w:pStyle w:val="9"/>
        <w:keepNext w:val="0"/>
        <w:keepLines w:val="0"/>
        <w:pageBreakBefore w:val="0"/>
        <w:widowControl w:val="0"/>
        <w:kinsoku/>
        <w:wordWrap/>
        <w:overflowPunct/>
        <w:topLinePunct w:val="0"/>
        <w:autoSpaceDE/>
        <w:autoSpaceDN/>
        <w:bidi w:val="0"/>
        <w:adjustRightInd/>
        <w:snapToGrid/>
        <w:spacing w:before="0" w:beforeLines="0" w:after="0" w:afterLines="0" w:line="620" w:lineRule="exact"/>
        <w:ind w:left="0" w:leftChars="0" w:firstLine="0" w:firstLineChars="0"/>
        <w:jc w:val="both"/>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附件2</w:t>
      </w:r>
    </w:p>
    <w:p>
      <w:pPr>
        <w:pStyle w:val="9"/>
        <w:keepNext w:val="0"/>
        <w:keepLines w:val="0"/>
        <w:pageBreakBefore w:val="0"/>
        <w:widowControl w:val="0"/>
        <w:kinsoku/>
        <w:wordWrap/>
        <w:overflowPunct/>
        <w:topLinePunct w:val="0"/>
        <w:autoSpaceDE/>
        <w:autoSpaceDN/>
        <w:bidi w:val="0"/>
        <w:adjustRightInd/>
        <w:snapToGrid/>
        <w:spacing w:before="0" w:beforeLines="0" w:after="0" w:afterLines="0" w:line="620" w:lineRule="exact"/>
        <w:ind w:left="0" w:leftChars="0" w:firstLine="0" w:firstLineChars="0"/>
        <w:jc w:val="both"/>
        <w:textAlignment w:val="auto"/>
        <w:rPr>
          <w:rFonts w:hint="eastAsia" w:ascii="宋体" w:hAnsi="宋体" w:eastAsia="宋体" w:cs="宋体"/>
          <w:b/>
          <w:bCs/>
          <w:kern w:val="2"/>
          <w:sz w:val="32"/>
          <w:szCs w:val="32"/>
          <w:highlight w:val="none"/>
          <w:lang w:val="en-US" w:eastAsia="zh-CN" w:bidi="ar-SA"/>
        </w:rPr>
      </w:pPr>
    </w:p>
    <w:p>
      <w:pPr>
        <w:pStyle w:val="9"/>
        <w:keepNext w:val="0"/>
        <w:keepLines w:val="0"/>
        <w:pageBreakBefore w:val="0"/>
        <w:widowControl w:val="0"/>
        <w:kinsoku/>
        <w:wordWrap/>
        <w:overflowPunct/>
        <w:topLinePunct w:val="0"/>
        <w:autoSpaceDE/>
        <w:autoSpaceDN/>
        <w:bidi w:val="0"/>
        <w:adjustRightInd/>
        <w:snapToGrid/>
        <w:spacing w:before="0" w:beforeLines="0" w:after="0" w:afterLines="0" w:line="620" w:lineRule="exact"/>
        <w:ind w:left="0" w:leftChars="0"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rPr>
      </w:pPr>
      <w:r>
        <w:rPr>
          <w:rFonts w:hint="eastAsia" w:ascii="方正小标宋简体" w:hAnsi="方正小标宋简体" w:eastAsia="方正小标宋简体" w:cs="方正小标宋简体"/>
          <w:b w:val="0"/>
          <w:bCs w:val="0"/>
          <w:kern w:val="2"/>
          <w:sz w:val="44"/>
          <w:szCs w:val="44"/>
          <w:highlight w:val="none"/>
          <w:lang w:val="en-US" w:eastAsia="zh-CN" w:bidi="ar-SA"/>
        </w:rPr>
        <w:t>个人承诺授权书参考文本</w:t>
      </w:r>
    </w:p>
    <w:p>
      <w:pPr>
        <w:keepNext w:val="0"/>
        <w:keepLines w:val="0"/>
        <w:pageBreakBefore w:val="0"/>
        <w:widowControl w:val="0"/>
        <w:kinsoku/>
        <w:wordWrap/>
        <w:overflowPunct/>
        <w:topLinePunct w:val="0"/>
        <w:autoSpaceDE/>
        <w:autoSpaceDN/>
        <w:bidi w:val="0"/>
        <w:adjustRightInd/>
        <w:snapToGrid/>
        <w:spacing w:line="620" w:lineRule="exact"/>
        <w:ind w:left="0"/>
        <w:jc w:val="both"/>
        <w:textAlignment w:val="auto"/>
        <w:rPr>
          <w:rFonts w:hint="default" w:ascii="Times New Roman" w:hAnsi="Times New Roman" w:eastAsia="仿宋"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left="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color w:val="auto"/>
          <w:kern w:val="2"/>
          <w:sz w:val="32"/>
          <w:szCs w:val="32"/>
          <w:highlight w:val="none"/>
          <w:u w:val="single"/>
          <w:shd w:val="clear" w:color="auto" w:fill="auto"/>
          <w:lang w:val="en-US" w:eastAsia="zh-CN" w:bidi="zh-TW"/>
        </w:rPr>
        <w:t xml:space="preserve">           </w:t>
      </w:r>
      <w:r>
        <w:rPr>
          <w:rFonts w:hint="eastAsia" w:ascii="仿宋_GB2312" w:hAnsi="仿宋_GB2312" w:eastAsia="仿宋_GB2312" w:cs="仿宋_GB2312"/>
          <w:color w:val="auto"/>
          <w:kern w:val="2"/>
          <w:sz w:val="32"/>
          <w:szCs w:val="32"/>
          <w:highlight w:val="none"/>
          <w:u w:val="none"/>
          <w:shd w:val="clear" w:color="auto" w:fill="auto"/>
          <w:lang w:val="en-US" w:eastAsia="zh-CN" w:bidi="zh-TW"/>
        </w:rPr>
        <w:t>村委会：</w:t>
      </w:r>
    </w:p>
    <w:p>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color w:val="auto"/>
          <w:kern w:val="2"/>
          <w:sz w:val="32"/>
          <w:szCs w:val="32"/>
          <w:highlight w:val="none"/>
          <w:u w:val="none"/>
          <w:shd w:val="clear" w:color="auto" w:fill="auto"/>
          <w:lang w:val="en-US" w:eastAsia="zh-CN" w:bidi="zh-TW"/>
        </w:rPr>
        <w:t>本人</w:t>
      </w:r>
      <w:r>
        <w:rPr>
          <w:rFonts w:hint="eastAsia" w:ascii="仿宋_GB2312" w:hAnsi="仿宋_GB2312" w:eastAsia="仿宋_GB2312" w:cs="仿宋_GB2312"/>
          <w:color w:val="auto"/>
          <w:kern w:val="2"/>
          <w:sz w:val="32"/>
          <w:szCs w:val="32"/>
          <w:highlight w:val="none"/>
          <w:u w:val="single"/>
          <w:shd w:val="clear" w:color="auto" w:fill="auto"/>
          <w:lang w:val="en-US" w:eastAsia="zh-CN" w:bidi="zh-TW"/>
        </w:rPr>
        <w:t xml:space="preserve">（姓名）      </w:t>
      </w:r>
      <w:r>
        <w:rPr>
          <w:rFonts w:hint="eastAsia" w:ascii="仿宋_GB2312" w:hAnsi="仿宋_GB2312" w:eastAsia="仿宋_GB2312" w:cs="仿宋_GB2312"/>
          <w:color w:val="auto"/>
          <w:kern w:val="2"/>
          <w:sz w:val="32"/>
          <w:szCs w:val="32"/>
          <w:highlight w:val="none"/>
          <w:u w:val="none"/>
          <w:shd w:val="clear" w:color="auto" w:fill="auto"/>
          <w:lang w:val="en-US" w:eastAsia="zh-CN" w:bidi="zh-TW"/>
        </w:rPr>
        <w:t>身份证号:</w:t>
      </w:r>
      <w:r>
        <w:rPr>
          <w:rFonts w:hint="eastAsia" w:ascii="仿宋_GB2312" w:hAnsi="仿宋_GB2312" w:eastAsia="仿宋_GB2312" w:cs="仿宋_GB2312"/>
          <w:color w:val="auto"/>
          <w:kern w:val="2"/>
          <w:sz w:val="32"/>
          <w:szCs w:val="32"/>
          <w:highlight w:val="none"/>
          <w:u w:val="single"/>
          <w:shd w:val="clear" w:color="auto" w:fill="auto"/>
          <w:lang w:val="en-US" w:eastAsia="zh-CN" w:bidi="zh-TW"/>
        </w:rPr>
        <w:t xml:space="preserve">           </w:t>
      </w:r>
      <w:r>
        <w:rPr>
          <w:rFonts w:hint="eastAsia" w:ascii="仿宋_GB2312" w:hAnsi="仿宋_GB2312" w:eastAsia="仿宋_GB2312" w:cs="仿宋_GB2312"/>
          <w:color w:val="auto"/>
          <w:kern w:val="2"/>
          <w:sz w:val="32"/>
          <w:szCs w:val="32"/>
          <w:highlight w:val="none"/>
          <w:u w:val="none"/>
          <w:shd w:val="clear" w:color="auto" w:fill="auto"/>
          <w:lang w:val="en-US" w:eastAsia="zh-CN" w:bidi="zh-TW"/>
        </w:rPr>
        <w:t>为</w:t>
      </w:r>
      <w:r>
        <w:rPr>
          <w:rFonts w:hint="eastAsia" w:ascii="仿宋_GB2312" w:hAnsi="仿宋_GB2312" w:eastAsia="仿宋_GB2312" w:cs="仿宋_GB2312"/>
          <w:color w:val="auto"/>
          <w:kern w:val="2"/>
          <w:sz w:val="32"/>
          <w:szCs w:val="32"/>
          <w:highlight w:val="none"/>
          <w:u w:val="single"/>
          <w:shd w:val="clear" w:color="auto" w:fill="auto"/>
          <w:lang w:val="en-US" w:eastAsia="zh-CN" w:bidi="zh-TW"/>
        </w:rPr>
        <w:t xml:space="preserve">       </w:t>
      </w:r>
      <w:r>
        <w:rPr>
          <w:rFonts w:hint="eastAsia" w:ascii="仿宋_GB2312" w:hAnsi="仿宋_GB2312" w:eastAsia="仿宋_GB2312" w:cs="仿宋_GB2312"/>
          <w:color w:val="auto"/>
          <w:kern w:val="2"/>
          <w:sz w:val="32"/>
          <w:szCs w:val="32"/>
          <w:highlight w:val="none"/>
          <w:u w:val="none"/>
          <w:shd w:val="clear" w:color="auto" w:fill="auto"/>
          <w:lang w:val="en-US" w:eastAsia="zh-CN" w:bidi="zh-TW"/>
        </w:rPr>
        <w:t>村村民，家庭成员</w:t>
      </w:r>
      <w:r>
        <w:rPr>
          <w:rFonts w:hint="eastAsia" w:ascii="仿宋_GB2312" w:hAnsi="仿宋_GB2312" w:eastAsia="仿宋_GB2312" w:cs="仿宋_GB2312"/>
          <w:color w:val="auto"/>
          <w:kern w:val="2"/>
          <w:sz w:val="32"/>
          <w:szCs w:val="32"/>
          <w:highlight w:val="none"/>
          <w:u w:val="single"/>
          <w:shd w:val="clear" w:color="auto" w:fill="auto"/>
          <w:lang w:val="en-US" w:eastAsia="zh-CN" w:bidi="zh-TW"/>
        </w:rPr>
        <w:t xml:space="preserve">   </w:t>
      </w:r>
      <w:r>
        <w:rPr>
          <w:rFonts w:hint="eastAsia" w:ascii="仿宋_GB2312" w:hAnsi="仿宋_GB2312" w:eastAsia="仿宋_GB2312" w:cs="仿宋_GB2312"/>
          <w:color w:val="auto"/>
          <w:kern w:val="2"/>
          <w:sz w:val="32"/>
          <w:szCs w:val="32"/>
          <w:highlight w:val="none"/>
          <w:u w:val="none"/>
          <w:shd w:val="clear" w:color="auto" w:fill="auto"/>
          <w:lang w:val="en-US" w:eastAsia="zh-CN" w:bidi="zh-TW"/>
        </w:rPr>
        <w:t>人。目前因</w:t>
      </w:r>
      <w:r>
        <w:rPr>
          <w:rFonts w:hint="eastAsia" w:ascii="仿宋_GB2312" w:hAnsi="仿宋_GB2312" w:eastAsia="仿宋_GB2312" w:cs="仿宋_GB2312"/>
          <w:color w:val="auto"/>
          <w:kern w:val="2"/>
          <w:sz w:val="32"/>
          <w:szCs w:val="32"/>
          <w:highlight w:val="none"/>
          <w:u w:val="single"/>
          <w:shd w:val="clear" w:color="auto" w:fill="auto"/>
          <w:lang w:val="en-US" w:eastAsia="zh-CN" w:bidi="zh-TW"/>
        </w:rPr>
        <w:t xml:space="preserve">                    </w:t>
      </w:r>
      <w:r>
        <w:rPr>
          <w:rFonts w:hint="eastAsia" w:ascii="仿宋_GB2312" w:hAnsi="仿宋_GB2312" w:eastAsia="仿宋_GB2312" w:cs="仿宋_GB2312"/>
          <w:color w:val="auto"/>
          <w:kern w:val="2"/>
          <w:sz w:val="32"/>
          <w:szCs w:val="32"/>
          <w:highlight w:val="none"/>
          <w:u w:val="none"/>
          <w:shd w:val="clear" w:color="auto" w:fill="auto"/>
          <w:lang w:val="en-US" w:eastAsia="zh-CN" w:bidi="zh-TW"/>
        </w:rPr>
        <w:t>，导致生活困难，现申请纳入监测对象。本人郑重做出以下承诺及授权:</w:t>
      </w:r>
    </w:p>
    <w:p>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color w:val="auto"/>
          <w:kern w:val="2"/>
          <w:sz w:val="32"/>
          <w:szCs w:val="32"/>
          <w:highlight w:val="none"/>
          <w:u w:val="none"/>
          <w:shd w:val="clear" w:color="auto" w:fill="auto"/>
          <w:lang w:val="en-US" w:eastAsia="zh-CN" w:bidi="zh-TW"/>
        </w:rPr>
        <w:t>一、本人承诺所提供家庭成员（含分户、迁出人员）、财产等信息真实、准确、齐全，对因隐瞒、提供虚假信息造成不良后果的，自愿承担相关责任。</w:t>
      </w:r>
    </w:p>
    <w:p>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color w:val="auto"/>
          <w:kern w:val="2"/>
          <w:sz w:val="32"/>
          <w:szCs w:val="32"/>
          <w:highlight w:val="none"/>
          <w:u w:val="none"/>
          <w:shd w:val="clear" w:color="auto" w:fill="auto"/>
          <w:lang w:val="en-US" w:eastAsia="zh-CN" w:bidi="zh-TW"/>
        </w:rPr>
        <w:t>二、本人同意并授权相关部门对家庭成员、家庭资产等相关信息进行调查核实，用于申请监测对象资格核查。</w:t>
      </w:r>
    </w:p>
    <w:p>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color w:val="auto"/>
          <w:kern w:val="2"/>
          <w:sz w:val="32"/>
          <w:szCs w:val="32"/>
          <w:highlight w:val="none"/>
          <w:u w:val="none"/>
          <w:shd w:val="clear" w:color="auto" w:fill="auto"/>
          <w:lang w:val="en-US" w:eastAsia="zh-CN" w:bidi="zh-TW"/>
        </w:rPr>
        <w:t>三、本人承诺尊重、接受核查结果。</w:t>
      </w:r>
    </w:p>
    <w:p>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color w:val="auto"/>
          <w:kern w:val="2"/>
          <w:sz w:val="32"/>
          <w:szCs w:val="32"/>
          <w:highlight w:val="none"/>
          <w:u w:val="none"/>
          <w:shd w:val="clear" w:color="auto" w:fill="auto"/>
          <w:lang w:val="en-US" w:eastAsia="zh-CN" w:bidi="zh-TW"/>
        </w:rPr>
        <w:t>四、授权期限为自本人签署授权承诺书之日起至本人家庭生活及收入持续稳定，监测帮扶结束之日止。</w:t>
      </w:r>
    </w:p>
    <w:p>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color w:val="auto"/>
          <w:kern w:val="2"/>
          <w:sz w:val="32"/>
          <w:szCs w:val="32"/>
          <w:highlight w:val="none"/>
          <w:u w:val="none"/>
          <w:shd w:val="clear" w:color="auto" w:fill="auto"/>
          <w:lang w:val="en-US" w:eastAsia="zh-CN" w:bidi="zh-TW"/>
        </w:rPr>
        <w:t>本承诺授权书采用签字方式签署，一式两份（本人一份，村委会一份），签订方式为手写签字或按手印。</w:t>
      </w:r>
    </w:p>
    <w:p>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color w:val="auto"/>
          <w:kern w:val="2"/>
          <w:sz w:val="32"/>
          <w:szCs w:val="32"/>
          <w:highlight w:val="none"/>
          <w:u w:val="none"/>
          <w:shd w:val="clear" w:color="auto" w:fill="auto"/>
          <w:lang w:val="en-US" w:eastAsia="zh-CN" w:bidi="zh-TW"/>
        </w:rPr>
        <w:t>特此承诺授权。</w:t>
      </w:r>
    </w:p>
    <w:p>
      <w:pPr>
        <w:keepNext w:val="0"/>
        <w:keepLines w:val="0"/>
        <w:pageBreakBefore w:val="0"/>
        <w:widowControl w:val="0"/>
        <w:kinsoku/>
        <w:wordWrap/>
        <w:overflowPunct/>
        <w:topLinePunct w:val="0"/>
        <w:autoSpaceDE/>
        <w:autoSpaceDN/>
        <w:bidi w:val="0"/>
        <w:adjustRightInd/>
        <w:snapToGrid/>
        <w:spacing w:line="620" w:lineRule="exact"/>
        <w:ind w:firstLine="4800" w:firstLineChars="150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pPr>
      <w:r>
        <w:rPr>
          <w:rFonts w:hint="eastAsia" w:ascii="仿宋_GB2312" w:hAnsi="仿宋_GB2312" w:eastAsia="仿宋_GB2312" w:cs="仿宋_GB2312"/>
          <w:color w:val="auto"/>
          <w:kern w:val="2"/>
          <w:sz w:val="32"/>
          <w:szCs w:val="32"/>
          <w:highlight w:val="none"/>
          <w:u w:val="none"/>
          <w:shd w:val="clear" w:color="auto" w:fill="auto"/>
          <w:lang w:val="en-US" w:eastAsia="zh-CN" w:bidi="zh-TW"/>
        </w:rPr>
        <w:t>承诺授权人:</w:t>
      </w:r>
    </w:p>
    <w:p>
      <w:pPr>
        <w:keepNext w:val="0"/>
        <w:keepLines w:val="0"/>
        <w:pageBreakBefore w:val="0"/>
        <w:widowControl w:val="0"/>
        <w:kinsoku/>
        <w:wordWrap/>
        <w:overflowPunct/>
        <w:topLinePunct w:val="0"/>
        <w:autoSpaceDE/>
        <w:autoSpaceDN/>
        <w:bidi w:val="0"/>
        <w:adjustRightInd/>
        <w:snapToGrid/>
        <w:spacing w:line="620" w:lineRule="exact"/>
        <w:ind w:left="0" w:leftChars="0" w:firstLine="320" w:firstLineChars="100"/>
        <w:jc w:val="both"/>
        <w:textAlignment w:val="auto"/>
        <w:rPr>
          <w:rFonts w:hint="eastAsia" w:ascii="仿宋_GB2312" w:hAnsi="仿宋_GB2312" w:eastAsia="仿宋_GB2312" w:cs="仿宋_GB2312"/>
          <w:color w:val="auto"/>
          <w:kern w:val="2"/>
          <w:sz w:val="32"/>
          <w:szCs w:val="32"/>
          <w:highlight w:val="none"/>
          <w:u w:val="none"/>
          <w:shd w:val="clear" w:color="auto" w:fill="auto"/>
          <w:lang w:val="en-US" w:eastAsia="zh-CN" w:bidi="zh-TW"/>
        </w:rPr>
        <w:sectPr>
          <w:footerReference r:id="rId4" w:type="default"/>
          <w:pgSz w:w="11906" w:h="16838"/>
          <w:pgMar w:top="1440" w:right="1800" w:bottom="1440" w:left="1800" w:header="851" w:footer="992" w:gutter="0"/>
          <w:lnNumType w:countBy="0"/>
          <w:pgNumType w:fmt="numberInDash"/>
          <w:cols w:space="425" w:num="1"/>
          <w:vAlign w:val="top"/>
          <w:docGrid w:type="lines" w:linePitch="312" w:charSpace="0"/>
        </w:sectPr>
      </w:pPr>
      <w:r>
        <w:rPr>
          <w:rFonts w:hint="eastAsia" w:ascii="仿宋_GB2312" w:hAnsi="仿宋_GB2312" w:eastAsia="仿宋_GB2312" w:cs="仿宋_GB2312"/>
          <w:color w:val="auto"/>
          <w:kern w:val="2"/>
          <w:sz w:val="32"/>
          <w:szCs w:val="32"/>
          <w:highlight w:val="none"/>
          <w:u w:val="none"/>
          <w:shd w:val="clear" w:color="auto" w:fill="auto"/>
          <w:lang w:val="en-US" w:eastAsia="zh-CN" w:bidi="zh-TW"/>
        </w:rPr>
        <w:t xml:space="preserve">                            年    月    日</w:t>
      </w:r>
    </w:p>
    <w:p>
      <w:pPr>
        <w:widowControl w:val="0"/>
        <w:jc w:val="both"/>
        <w:textAlignment w:val="auto"/>
        <w:rPr>
          <w:rFonts w:hint="eastAsia" w:ascii="方正黑体_GBK" w:hAnsi="方正黑体_GBK" w:eastAsia="方正黑体_GBK" w:cs="方正黑体_GBK"/>
          <w:sz w:val="32"/>
          <w:szCs w:val="32"/>
          <w:highlight w:val="none"/>
          <w:lang w:val="en-US" w:eastAsia="zh-CN" w:bidi="ar-SA"/>
        </w:rPr>
      </w:pPr>
      <w:r>
        <w:rPr>
          <w:rFonts w:hint="eastAsia" w:ascii="方正黑体_GBK" w:hAnsi="方正黑体_GBK" w:eastAsia="方正黑体_GBK" w:cs="方正黑体_GBK"/>
          <w:sz w:val="32"/>
          <w:szCs w:val="32"/>
          <w:highlight w:val="none"/>
          <w:lang w:val="en-US" w:eastAsia="zh-CN" w:bidi="ar-SA"/>
        </w:rPr>
        <w:t>附件3</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firstLine="0" w:firstLineChars="0"/>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rPr>
      </w:pPr>
      <w:r>
        <w:rPr>
          <w:rFonts w:hint="eastAsia" w:ascii="方正小标宋简体" w:hAnsi="方正小标宋简体" w:eastAsia="方正小标宋简体" w:cs="方正小标宋简体"/>
          <w:b w:val="0"/>
          <w:bCs w:val="0"/>
          <w:kern w:val="2"/>
          <w:sz w:val="44"/>
          <w:szCs w:val="44"/>
          <w:highlight w:val="none"/>
          <w:lang w:val="en-US" w:eastAsia="zh-CN" w:bidi="ar-SA"/>
        </w:rPr>
        <w:t>防止返贫动态监测排查表参考文本</w:t>
      </w:r>
    </w:p>
    <w:tbl>
      <w:tblPr>
        <w:tblStyle w:val="13"/>
        <w:tblW w:w="10360" w:type="dxa"/>
        <w:jc w:val="center"/>
        <w:tblLayout w:type="fixed"/>
        <w:tblCellMar>
          <w:top w:w="0" w:type="dxa"/>
          <w:left w:w="108" w:type="dxa"/>
          <w:bottom w:w="0" w:type="dxa"/>
          <w:right w:w="108" w:type="dxa"/>
        </w:tblCellMar>
      </w:tblPr>
      <w:tblGrid>
        <w:gridCol w:w="1845"/>
        <w:gridCol w:w="842"/>
        <w:gridCol w:w="1496"/>
        <w:gridCol w:w="693"/>
        <w:gridCol w:w="2030"/>
        <w:gridCol w:w="1659"/>
        <w:gridCol w:w="1250"/>
        <w:gridCol w:w="545"/>
      </w:tblGrid>
      <w:tr>
        <w:tblPrEx>
          <w:tblCellMar>
            <w:top w:w="0" w:type="dxa"/>
            <w:left w:w="108" w:type="dxa"/>
            <w:bottom w:w="0" w:type="dxa"/>
            <w:right w:w="108" w:type="dxa"/>
          </w:tblCellMar>
        </w:tblPrEx>
        <w:trPr>
          <w:trHeight w:val="90" w:hRule="atLeast"/>
          <w:jc w:val="center"/>
        </w:trPr>
        <w:tc>
          <w:tcPr>
            <w:tcW w:w="10360" w:type="dxa"/>
            <w:gridSpan w:val="8"/>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仿宋_GB2312" w:eastAsia="仿宋_GB2312" w:cs="仿宋_GB2312"/>
                <w:i w:val="0"/>
                <w:iCs w:val="0"/>
                <w:color w:val="000000"/>
                <w:sz w:val="24"/>
                <w:szCs w:val="24"/>
                <w:highlight w:val="none"/>
                <w:u w:val="none"/>
                <w:lang w:bidi="ar-SA"/>
              </w:rPr>
            </w:pPr>
            <w:r>
              <w:rPr>
                <w:rFonts w:hint="eastAsia" w:ascii="仿宋_GB2312" w:hAnsi="仿宋_GB2312" w:eastAsia="仿宋_GB2312" w:cs="仿宋_GB2312"/>
                <w:i w:val="0"/>
                <w:iCs w:val="0"/>
                <w:color w:val="000000"/>
                <w:kern w:val="0"/>
                <w:sz w:val="20"/>
                <w:szCs w:val="20"/>
                <w:highlight w:val="none"/>
                <w:u w:val="single"/>
                <w:lang w:val="en-US" w:eastAsia="zh-CN" w:bidi="ar-SA"/>
              </w:rPr>
              <w:t xml:space="preserve">         </w:t>
            </w:r>
            <w:r>
              <w:rPr>
                <w:rFonts w:hint="eastAsia" w:ascii="仿宋_GB2312" w:hAnsi="仿宋_GB2312" w:eastAsia="仿宋_GB2312" w:cs="仿宋_GB2312"/>
                <w:i w:val="0"/>
                <w:iCs w:val="0"/>
                <w:color w:val="000000"/>
                <w:kern w:val="0"/>
                <w:sz w:val="20"/>
                <w:szCs w:val="20"/>
                <w:highlight w:val="none"/>
                <w:u w:val="none"/>
                <w:lang w:val="en-US" w:eastAsia="zh-CN" w:bidi="ar-SA"/>
              </w:rPr>
              <w:t>县</w:t>
            </w:r>
            <w:r>
              <w:rPr>
                <w:rFonts w:hint="eastAsia" w:ascii="仿宋_GB2312" w:hAnsi="仿宋_GB2312" w:eastAsia="仿宋_GB2312" w:cs="仿宋_GB2312"/>
                <w:i w:val="0"/>
                <w:iCs w:val="0"/>
                <w:color w:val="000000"/>
                <w:kern w:val="0"/>
                <w:sz w:val="20"/>
                <w:szCs w:val="20"/>
                <w:highlight w:val="none"/>
                <w:u w:val="single"/>
                <w:lang w:val="en-US" w:eastAsia="zh-CN" w:bidi="ar-SA"/>
              </w:rPr>
              <w:t xml:space="preserve">         </w:t>
            </w:r>
            <w:r>
              <w:rPr>
                <w:rFonts w:hint="eastAsia" w:ascii="仿宋_GB2312" w:hAnsi="仿宋_GB2312" w:eastAsia="仿宋_GB2312" w:cs="仿宋_GB2312"/>
                <w:i w:val="0"/>
                <w:iCs w:val="0"/>
                <w:color w:val="000000"/>
                <w:kern w:val="0"/>
                <w:sz w:val="20"/>
                <w:szCs w:val="20"/>
                <w:highlight w:val="none"/>
                <w:u w:val="none"/>
                <w:lang w:val="en-US" w:eastAsia="zh-CN" w:bidi="ar-SA"/>
              </w:rPr>
              <w:t>乡</w:t>
            </w:r>
            <w:r>
              <w:rPr>
                <w:rFonts w:hint="eastAsia" w:ascii="仿宋_GB2312" w:hAnsi="仿宋_GB2312" w:eastAsia="仿宋_GB2312" w:cs="仿宋_GB2312"/>
                <w:i w:val="0"/>
                <w:iCs w:val="0"/>
                <w:color w:val="000000"/>
                <w:kern w:val="0"/>
                <w:sz w:val="20"/>
                <w:szCs w:val="20"/>
                <w:highlight w:val="none"/>
                <w:u w:val="single"/>
                <w:lang w:val="en-US" w:eastAsia="zh-CN" w:bidi="ar-SA"/>
              </w:rPr>
              <w:t xml:space="preserve">         </w:t>
            </w:r>
            <w:r>
              <w:rPr>
                <w:rFonts w:hint="eastAsia" w:ascii="仿宋_GB2312" w:hAnsi="仿宋_GB2312" w:eastAsia="仿宋_GB2312" w:cs="仿宋_GB2312"/>
                <w:i w:val="0"/>
                <w:iCs w:val="0"/>
                <w:color w:val="000000"/>
                <w:kern w:val="0"/>
                <w:sz w:val="20"/>
                <w:szCs w:val="20"/>
                <w:highlight w:val="none"/>
                <w:u w:val="none"/>
                <w:lang w:val="en-US" w:eastAsia="zh-CN" w:bidi="ar-SA"/>
              </w:rPr>
              <w:t>村</w:t>
            </w:r>
            <w:r>
              <w:rPr>
                <w:rFonts w:hint="eastAsia" w:ascii="仿宋_GB2312" w:hAnsi="仿宋_GB2312" w:eastAsia="仿宋_GB2312" w:cs="仿宋_GB2312"/>
                <w:i w:val="0"/>
                <w:iCs w:val="0"/>
                <w:color w:val="000000"/>
                <w:kern w:val="0"/>
                <w:sz w:val="20"/>
                <w:szCs w:val="20"/>
                <w:highlight w:val="none"/>
                <w:u w:val="single"/>
                <w:lang w:val="en-US" w:eastAsia="zh-CN" w:bidi="ar-SA"/>
              </w:rPr>
              <w:t xml:space="preserve">       </w:t>
            </w:r>
            <w:r>
              <w:rPr>
                <w:rFonts w:hint="eastAsia" w:ascii="仿宋_GB2312" w:hAnsi="仿宋_GB2312" w:eastAsia="仿宋_GB2312" w:cs="仿宋_GB2312"/>
                <w:i w:val="0"/>
                <w:iCs w:val="0"/>
                <w:color w:val="000000"/>
                <w:kern w:val="0"/>
                <w:sz w:val="20"/>
                <w:szCs w:val="20"/>
                <w:highlight w:val="none"/>
                <w:u w:val="none"/>
                <w:lang w:val="en-US" w:eastAsia="zh-CN" w:bidi="ar-SA"/>
              </w:rPr>
              <w:t xml:space="preserve">组                              </w:t>
            </w:r>
            <w:r>
              <w:rPr>
                <w:rFonts w:hint="eastAsia" w:ascii="仿宋_GB2312" w:hAnsi="仿宋_GB2312" w:eastAsia="仿宋_GB2312" w:cs="仿宋_GB2312"/>
                <w:i w:val="0"/>
                <w:iCs w:val="0"/>
                <w:color w:val="000000"/>
                <w:kern w:val="0"/>
                <w:sz w:val="20"/>
                <w:szCs w:val="20"/>
                <w:highlight w:val="none"/>
                <w:u w:val="single"/>
                <w:lang w:val="en-US" w:eastAsia="zh-CN" w:bidi="ar-SA"/>
              </w:rPr>
              <w:t xml:space="preserve">       </w:t>
            </w:r>
            <w:r>
              <w:rPr>
                <w:rFonts w:hint="eastAsia" w:ascii="仿宋_GB2312" w:hAnsi="仿宋_GB2312" w:eastAsia="仿宋_GB2312" w:cs="仿宋_GB2312"/>
                <w:i w:val="0"/>
                <w:iCs w:val="0"/>
                <w:color w:val="000000"/>
                <w:kern w:val="0"/>
                <w:sz w:val="20"/>
                <w:szCs w:val="20"/>
                <w:highlight w:val="none"/>
                <w:u w:val="none"/>
                <w:lang w:val="en-US" w:eastAsia="zh-CN" w:bidi="ar-SA"/>
              </w:rPr>
              <w:t>年</w:t>
            </w:r>
            <w:r>
              <w:rPr>
                <w:rFonts w:hint="eastAsia" w:ascii="仿宋_GB2312" w:hAnsi="仿宋_GB2312" w:eastAsia="仿宋_GB2312" w:cs="仿宋_GB2312"/>
                <w:i w:val="0"/>
                <w:iCs w:val="0"/>
                <w:color w:val="000000"/>
                <w:kern w:val="0"/>
                <w:sz w:val="20"/>
                <w:szCs w:val="20"/>
                <w:highlight w:val="none"/>
                <w:u w:val="single"/>
                <w:lang w:val="en-US" w:eastAsia="zh-CN" w:bidi="ar-SA"/>
              </w:rPr>
              <w:t xml:space="preserve">      </w:t>
            </w:r>
            <w:r>
              <w:rPr>
                <w:rFonts w:hint="eastAsia" w:ascii="仿宋_GB2312" w:hAnsi="仿宋_GB2312" w:eastAsia="仿宋_GB2312" w:cs="仿宋_GB2312"/>
                <w:i w:val="0"/>
                <w:iCs w:val="0"/>
                <w:color w:val="000000"/>
                <w:kern w:val="0"/>
                <w:sz w:val="20"/>
                <w:szCs w:val="20"/>
                <w:highlight w:val="none"/>
                <w:u w:val="none"/>
                <w:lang w:val="en-US" w:eastAsia="zh-CN" w:bidi="ar-SA"/>
              </w:rPr>
              <w:t>月</w:t>
            </w:r>
            <w:r>
              <w:rPr>
                <w:rFonts w:hint="eastAsia" w:ascii="仿宋_GB2312" w:hAnsi="仿宋_GB2312" w:eastAsia="仿宋_GB2312" w:cs="仿宋_GB2312"/>
                <w:i w:val="0"/>
                <w:iCs w:val="0"/>
                <w:color w:val="000000"/>
                <w:kern w:val="0"/>
                <w:sz w:val="20"/>
                <w:szCs w:val="20"/>
                <w:highlight w:val="none"/>
                <w:u w:val="single"/>
                <w:lang w:val="en-US" w:eastAsia="zh-CN" w:bidi="ar-SA"/>
              </w:rPr>
              <w:t xml:space="preserve">      </w:t>
            </w:r>
            <w:r>
              <w:rPr>
                <w:rFonts w:hint="eastAsia" w:ascii="仿宋_GB2312" w:hAnsi="仿宋_GB2312" w:eastAsia="仿宋_GB2312" w:cs="仿宋_GB2312"/>
                <w:i w:val="0"/>
                <w:iCs w:val="0"/>
                <w:color w:val="000000"/>
                <w:kern w:val="0"/>
                <w:sz w:val="20"/>
                <w:szCs w:val="20"/>
                <w:highlight w:val="none"/>
                <w:u w:val="none"/>
                <w:lang w:val="en-US" w:eastAsia="zh-CN" w:bidi="ar-SA"/>
              </w:rPr>
              <w:t>日</w:t>
            </w:r>
          </w:p>
        </w:tc>
      </w:tr>
      <w:tr>
        <w:tblPrEx>
          <w:tblCellMar>
            <w:top w:w="0" w:type="dxa"/>
            <w:left w:w="108" w:type="dxa"/>
            <w:bottom w:w="0" w:type="dxa"/>
            <w:right w:w="108" w:type="dxa"/>
          </w:tblCellMar>
        </w:tblPrEx>
        <w:trPr>
          <w:trHeight w:val="90" w:hRule="atLeast"/>
          <w:jc w:val="center"/>
        </w:trPr>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户主姓名</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家庭人口数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20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家庭劳动力人口数</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务工人数</w:t>
            </w:r>
          </w:p>
        </w:tc>
        <w:tc>
          <w:tcPr>
            <w:tcW w:w="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301" w:hRule="atLeast"/>
          <w:jc w:val="center"/>
        </w:trPr>
        <w:tc>
          <w:tcPr>
            <w:tcW w:w="1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在校生人数</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残疾人数</w:t>
            </w:r>
          </w:p>
        </w:tc>
        <w:tc>
          <w:tcPr>
            <w:tcW w:w="6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20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重大疾病人数</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慢性病人数</w:t>
            </w:r>
          </w:p>
        </w:tc>
        <w:tc>
          <w:tcPr>
            <w:tcW w:w="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户类别</w:t>
            </w:r>
          </w:p>
        </w:tc>
        <w:tc>
          <w:tcPr>
            <w:tcW w:w="76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color w:val="000000"/>
                <w:kern w:val="0"/>
                <w:sz w:val="20"/>
                <w:szCs w:val="20"/>
                <w:highlight w:val="none"/>
                <w:u w:val="none"/>
                <w:lang w:val="en-US" w:eastAsia="zh-CN" w:bidi="ar-SA"/>
              </w:rPr>
              <w:t>□</w:t>
            </w:r>
            <w:r>
              <w:rPr>
                <w:rFonts w:hint="eastAsia" w:ascii="仿宋" w:hAnsi="仿宋" w:eastAsia="仿宋" w:cs="仿宋"/>
                <w:i w:val="0"/>
                <w:iCs w:val="0"/>
                <w:color w:val="000000"/>
                <w:kern w:val="0"/>
                <w:sz w:val="20"/>
                <w:szCs w:val="20"/>
                <w:highlight w:val="none"/>
                <w:u w:val="none"/>
                <w:lang w:val="en-US" w:eastAsia="zh-CN" w:bidi="ar-SA"/>
              </w:rPr>
              <w:t xml:space="preserve">脱贫户        </w:t>
            </w:r>
            <w:r>
              <w:rPr>
                <w:rFonts w:hint="eastAsia" w:ascii="仿宋" w:hAnsi="仿宋" w:eastAsia="仿宋" w:cs="仿宋"/>
                <w:i w:val="0"/>
                <w:color w:val="000000"/>
                <w:kern w:val="0"/>
                <w:sz w:val="20"/>
                <w:szCs w:val="20"/>
                <w:highlight w:val="none"/>
                <w:u w:val="none"/>
                <w:lang w:val="en-US" w:eastAsia="zh-CN" w:bidi="ar-SA"/>
              </w:rPr>
              <w:t>□</w:t>
            </w:r>
            <w:r>
              <w:rPr>
                <w:rFonts w:hint="eastAsia" w:ascii="仿宋" w:hAnsi="仿宋" w:eastAsia="仿宋" w:cs="仿宋"/>
                <w:i w:val="0"/>
                <w:iCs w:val="0"/>
                <w:color w:val="000000"/>
                <w:kern w:val="0"/>
                <w:sz w:val="20"/>
                <w:szCs w:val="20"/>
                <w:highlight w:val="none"/>
                <w:u w:val="none"/>
                <w:lang w:val="en-US" w:eastAsia="zh-CN" w:bidi="ar-SA"/>
              </w:rPr>
              <w:t>一般农户</w:t>
            </w:r>
          </w:p>
        </w:tc>
      </w:tr>
      <w:tr>
        <w:tblPrEx>
          <w:tblCellMar>
            <w:top w:w="0" w:type="dxa"/>
            <w:left w:w="108" w:type="dxa"/>
            <w:bottom w:w="0" w:type="dxa"/>
            <w:right w:w="108" w:type="dxa"/>
          </w:tblCellMar>
        </w:tblPrEx>
        <w:trPr>
          <w:trHeight w:val="90" w:hRule="atLeast"/>
          <w:jc w:val="center"/>
        </w:trPr>
        <w:tc>
          <w:tcPr>
            <w:tcW w:w="268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SA"/>
              </w:rPr>
              <w:t>三保障和</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饮水安全情况</w:t>
            </w: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SA"/>
              </w:rPr>
              <w:t>是否住房出现安全问题</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200" w:firstLineChars="100"/>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color w:val="000000"/>
                <w:kern w:val="0"/>
                <w:sz w:val="20"/>
                <w:szCs w:val="20"/>
                <w:highlight w:val="none"/>
                <w:u w:val="none"/>
                <w:lang w:val="en-US" w:eastAsia="zh-CN" w:bidi="ar-SA"/>
              </w:rPr>
              <w:t>□</w:t>
            </w:r>
            <w:r>
              <w:rPr>
                <w:rStyle w:val="15"/>
                <w:rFonts w:hint="eastAsia" w:ascii="仿宋" w:hAnsi="仿宋" w:eastAsia="仿宋" w:cs="仿宋"/>
                <w:sz w:val="20"/>
                <w:szCs w:val="20"/>
                <w:highlight w:val="none"/>
                <w:lang w:val="en-US" w:eastAsia="zh-CN" w:bidi="ar-SA"/>
              </w:rPr>
              <w:t>是</w:t>
            </w:r>
            <w:r>
              <w:rPr>
                <w:rStyle w:val="16"/>
                <w:rFonts w:hint="eastAsia" w:ascii="仿宋" w:hAnsi="仿宋" w:eastAsia="仿宋" w:cs="仿宋"/>
                <w:sz w:val="20"/>
                <w:szCs w:val="20"/>
                <w:highlight w:val="none"/>
                <w:lang w:val="en-US" w:eastAsia="zh-CN" w:bidi="ar-SA"/>
              </w:rPr>
              <w:t xml:space="preserve">   </w:t>
            </w:r>
            <w:r>
              <w:rPr>
                <w:rFonts w:hint="eastAsia" w:ascii="仿宋" w:hAnsi="仿宋" w:eastAsia="仿宋" w:cs="仿宋"/>
                <w:i w:val="0"/>
                <w:color w:val="000000"/>
                <w:kern w:val="0"/>
                <w:sz w:val="20"/>
                <w:szCs w:val="20"/>
                <w:highlight w:val="none"/>
                <w:u w:val="none"/>
                <w:lang w:val="en-US" w:eastAsia="zh-CN" w:bidi="ar-SA"/>
              </w:rPr>
              <w:t>□</w:t>
            </w:r>
            <w:r>
              <w:rPr>
                <w:rStyle w:val="15"/>
                <w:rFonts w:hint="eastAsia" w:ascii="仿宋" w:hAnsi="仿宋" w:eastAsia="仿宋" w:cs="仿宋"/>
                <w:sz w:val="20"/>
                <w:szCs w:val="20"/>
                <w:highlight w:val="none"/>
                <w:lang w:val="en-US" w:eastAsia="zh-CN" w:bidi="ar-SA"/>
              </w:rPr>
              <w:t>否</w:t>
            </w: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SA"/>
              </w:rPr>
              <w:t>是否义务教育阶段适龄儿童少年失学辍学</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200" w:firstLineChars="100"/>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color w:val="000000"/>
                <w:kern w:val="0"/>
                <w:sz w:val="20"/>
                <w:szCs w:val="20"/>
                <w:highlight w:val="none"/>
                <w:u w:val="none"/>
                <w:lang w:val="en-US" w:eastAsia="zh-CN" w:bidi="ar-SA"/>
              </w:rPr>
              <w:t>□</w:t>
            </w:r>
            <w:r>
              <w:rPr>
                <w:rStyle w:val="16"/>
                <w:rFonts w:hint="eastAsia" w:ascii="仿宋" w:hAnsi="仿宋" w:eastAsia="仿宋" w:cs="仿宋"/>
                <w:sz w:val="20"/>
                <w:szCs w:val="20"/>
                <w:highlight w:val="none"/>
                <w:lang w:val="en-US" w:eastAsia="zh-CN" w:bidi="ar-SA"/>
              </w:rPr>
              <w:t xml:space="preserve">是  </w:t>
            </w:r>
            <w:r>
              <w:rPr>
                <w:rStyle w:val="17"/>
                <w:rFonts w:hint="eastAsia" w:ascii="仿宋" w:hAnsi="仿宋" w:eastAsia="仿宋" w:cs="仿宋"/>
                <w:sz w:val="20"/>
                <w:szCs w:val="20"/>
                <w:highlight w:val="none"/>
                <w:lang w:val="en-US" w:eastAsia="zh-CN" w:bidi="ar-SA"/>
              </w:rPr>
              <w:t xml:space="preserve"> </w:t>
            </w:r>
            <w:r>
              <w:rPr>
                <w:rFonts w:hint="eastAsia" w:ascii="仿宋" w:hAnsi="仿宋" w:eastAsia="仿宋" w:cs="仿宋"/>
                <w:i w:val="0"/>
                <w:color w:val="000000"/>
                <w:kern w:val="0"/>
                <w:sz w:val="20"/>
                <w:szCs w:val="20"/>
                <w:highlight w:val="none"/>
                <w:u w:val="none"/>
                <w:lang w:val="en-US" w:eastAsia="zh-CN" w:bidi="ar-SA"/>
              </w:rPr>
              <w:t>□</w:t>
            </w:r>
            <w:r>
              <w:rPr>
                <w:rStyle w:val="16"/>
                <w:rFonts w:hint="eastAsia" w:ascii="仿宋" w:hAnsi="仿宋" w:eastAsia="仿宋" w:cs="仿宋"/>
                <w:sz w:val="20"/>
                <w:szCs w:val="20"/>
                <w:highlight w:val="none"/>
                <w:lang w:val="en-US" w:eastAsia="zh-CN" w:bidi="ar-SA"/>
              </w:rPr>
              <w:t>否</w:t>
            </w: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SA"/>
              </w:rPr>
              <w:t>是否有家庭成员未参加城乡居民基本医疗保险</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200" w:firstLineChars="100"/>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color w:val="000000"/>
                <w:kern w:val="0"/>
                <w:sz w:val="20"/>
                <w:szCs w:val="20"/>
                <w:highlight w:val="none"/>
                <w:u w:val="none"/>
                <w:lang w:val="en-US" w:eastAsia="zh-CN" w:bidi="ar-SA"/>
              </w:rPr>
              <w:t>□</w:t>
            </w:r>
            <w:r>
              <w:rPr>
                <w:rStyle w:val="16"/>
                <w:rFonts w:hint="eastAsia" w:ascii="仿宋" w:hAnsi="仿宋" w:eastAsia="仿宋" w:cs="仿宋"/>
                <w:sz w:val="20"/>
                <w:szCs w:val="20"/>
                <w:highlight w:val="none"/>
                <w:lang w:val="en-US" w:eastAsia="zh-CN" w:bidi="ar-SA"/>
              </w:rPr>
              <w:t xml:space="preserve">是  </w:t>
            </w:r>
            <w:r>
              <w:rPr>
                <w:rStyle w:val="17"/>
                <w:rFonts w:hint="eastAsia" w:ascii="仿宋" w:hAnsi="仿宋" w:eastAsia="仿宋" w:cs="仿宋"/>
                <w:sz w:val="20"/>
                <w:szCs w:val="20"/>
                <w:highlight w:val="none"/>
                <w:lang w:val="en-US" w:eastAsia="zh-CN" w:bidi="ar-SA"/>
              </w:rPr>
              <w:t xml:space="preserve"> </w:t>
            </w:r>
            <w:r>
              <w:rPr>
                <w:rFonts w:hint="eastAsia" w:ascii="仿宋" w:hAnsi="仿宋" w:eastAsia="仿宋" w:cs="仿宋"/>
                <w:i w:val="0"/>
                <w:color w:val="000000"/>
                <w:kern w:val="0"/>
                <w:sz w:val="20"/>
                <w:szCs w:val="20"/>
                <w:highlight w:val="none"/>
                <w:u w:val="none"/>
                <w:lang w:val="en-US" w:eastAsia="zh-CN" w:bidi="ar-SA"/>
              </w:rPr>
              <w:t>□</w:t>
            </w:r>
            <w:r>
              <w:rPr>
                <w:rStyle w:val="16"/>
                <w:rFonts w:hint="eastAsia" w:ascii="仿宋" w:hAnsi="仿宋" w:eastAsia="仿宋" w:cs="仿宋"/>
                <w:sz w:val="20"/>
                <w:szCs w:val="20"/>
                <w:highlight w:val="none"/>
                <w:lang w:val="en-US" w:eastAsia="zh-CN" w:bidi="ar-SA"/>
              </w:rPr>
              <w:t>否</w:t>
            </w: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SA"/>
              </w:rPr>
              <w:t>是否饮水出现安全问题</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200" w:firstLineChars="100"/>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color w:val="000000"/>
                <w:kern w:val="0"/>
                <w:sz w:val="20"/>
                <w:szCs w:val="20"/>
                <w:highlight w:val="none"/>
                <w:u w:val="none"/>
                <w:lang w:val="en-US" w:eastAsia="zh-CN" w:bidi="ar-SA"/>
              </w:rPr>
              <w:t>□</w:t>
            </w:r>
            <w:r>
              <w:rPr>
                <w:rStyle w:val="16"/>
                <w:rFonts w:hint="eastAsia" w:ascii="仿宋" w:hAnsi="仿宋" w:eastAsia="仿宋" w:cs="仿宋"/>
                <w:sz w:val="20"/>
                <w:szCs w:val="20"/>
                <w:highlight w:val="none"/>
                <w:lang w:val="en-US" w:eastAsia="zh-CN" w:bidi="ar-SA"/>
              </w:rPr>
              <w:t xml:space="preserve">是  </w:t>
            </w:r>
            <w:r>
              <w:rPr>
                <w:rStyle w:val="17"/>
                <w:rFonts w:hint="eastAsia" w:ascii="仿宋" w:hAnsi="仿宋" w:eastAsia="仿宋" w:cs="仿宋"/>
                <w:sz w:val="20"/>
                <w:szCs w:val="20"/>
                <w:highlight w:val="none"/>
                <w:lang w:val="en-US" w:eastAsia="zh-CN" w:bidi="ar-SA"/>
              </w:rPr>
              <w:t xml:space="preserve"> </w:t>
            </w:r>
            <w:r>
              <w:rPr>
                <w:rFonts w:hint="eastAsia" w:ascii="仿宋" w:hAnsi="仿宋" w:eastAsia="仿宋" w:cs="仿宋"/>
                <w:i w:val="0"/>
                <w:color w:val="000000"/>
                <w:kern w:val="0"/>
                <w:sz w:val="20"/>
                <w:szCs w:val="20"/>
                <w:highlight w:val="none"/>
                <w:u w:val="none"/>
                <w:lang w:val="en-US" w:eastAsia="zh-CN" w:bidi="ar-SA"/>
              </w:rPr>
              <w:t>□</w:t>
            </w:r>
            <w:r>
              <w:rPr>
                <w:rStyle w:val="16"/>
                <w:rFonts w:hint="eastAsia" w:ascii="仿宋" w:hAnsi="仿宋" w:eastAsia="仿宋" w:cs="仿宋"/>
                <w:sz w:val="20"/>
                <w:szCs w:val="20"/>
                <w:highlight w:val="none"/>
                <w:lang w:val="en-US" w:eastAsia="zh-CN" w:bidi="ar-SA"/>
              </w:rPr>
              <w:t>否</w:t>
            </w:r>
          </w:p>
        </w:tc>
      </w:tr>
      <w:tr>
        <w:tblPrEx>
          <w:tblCellMar>
            <w:top w:w="0" w:type="dxa"/>
            <w:left w:w="108" w:type="dxa"/>
            <w:bottom w:w="0" w:type="dxa"/>
            <w:right w:w="108" w:type="dxa"/>
          </w:tblCellMar>
        </w:tblPrEx>
        <w:trPr>
          <w:trHeight w:val="90" w:hRule="atLeast"/>
          <w:jc w:val="center"/>
        </w:trPr>
        <w:tc>
          <w:tcPr>
            <w:tcW w:w="2687" w:type="dxa"/>
            <w:gridSpan w:val="2"/>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SA"/>
              </w:rPr>
              <w:t>收入情况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（单位：元）</w:t>
            </w: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务工收入</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生产经营性收入</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财产性收入</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转移性收入</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生产经营性支出</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家庭年纯收入</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年人均纯收入</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理赔收入</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合规自付支出（教育、医疗等合规自付的费用）</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SA"/>
              </w:rPr>
              <w:t>纳入监测对象的人均收入参考范围</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是否存在返贫致贫风险</w:t>
            </w:r>
          </w:p>
        </w:tc>
        <w:tc>
          <w:tcPr>
            <w:tcW w:w="76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val="en-US" w:bidi="ar-SA"/>
              </w:rPr>
            </w:pPr>
            <w:r>
              <w:rPr>
                <w:rFonts w:hint="eastAsia" w:ascii="仿宋" w:hAnsi="仿宋" w:eastAsia="仿宋" w:cs="仿宋"/>
                <w:i w:val="0"/>
                <w:color w:val="000000"/>
                <w:kern w:val="0"/>
                <w:sz w:val="20"/>
                <w:szCs w:val="20"/>
                <w:highlight w:val="none"/>
                <w:u w:val="none"/>
                <w:lang w:val="en-US" w:eastAsia="zh-CN" w:bidi="ar-SA"/>
              </w:rPr>
              <w:t>□</w:t>
            </w:r>
            <w:r>
              <w:rPr>
                <w:rFonts w:hint="eastAsia" w:ascii="仿宋" w:hAnsi="仿宋" w:eastAsia="仿宋" w:cs="仿宋"/>
                <w:i w:val="0"/>
                <w:iCs w:val="0"/>
                <w:color w:val="000000"/>
                <w:kern w:val="0"/>
                <w:sz w:val="20"/>
                <w:szCs w:val="20"/>
                <w:highlight w:val="none"/>
                <w:u w:val="none"/>
                <w:lang w:val="en-US" w:eastAsia="zh-CN" w:bidi="ar-SA"/>
              </w:rPr>
              <w:t xml:space="preserve">是     </w:t>
            </w:r>
            <w:r>
              <w:rPr>
                <w:rFonts w:hint="eastAsia" w:ascii="仿宋" w:hAnsi="仿宋" w:eastAsia="仿宋" w:cs="仿宋"/>
                <w:i w:val="0"/>
                <w:color w:val="000000"/>
                <w:kern w:val="0"/>
                <w:sz w:val="20"/>
                <w:szCs w:val="20"/>
                <w:highlight w:val="none"/>
                <w:u w:val="none"/>
                <w:lang w:val="en-US" w:eastAsia="zh-CN" w:bidi="ar-SA"/>
              </w:rPr>
              <w:t>□</w:t>
            </w:r>
            <w:r>
              <w:rPr>
                <w:rFonts w:hint="eastAsia" w:ascii="仿宋" w:hAnsi="仿宋" w:eastAsia="仿宋" w:cs="仿宋"/>
                <w:i w:val="0"/>
                <w:iCs w:val="0"/>
                <w:color w:val="000000"/>
                <w:kern w:val="0"/>
                <w:sz w:val="20"/>
                <w:szCs w:val="20"/>
                <w:highlight w:val="none"/>
                <w:u w:val="none"/>
                <w:lang w:val="en-US" w:eastAsia="zh-CN" w:bidi="ar-SA"/>
              </w:rPr>
              <w:t>否。如选是，请注明风险类型</w:t>
            </w:r>
            <w:r>
              <w:rPr>
                <w:rFonts w:hint="eastAsia" w:ascii="仿宋" w:hAnsi="仿宋" w:eastAsia="仿宋" w:cs="仿宋"/>
                <w:i w:val="0"/>
                <w:iCs w:val="0"/>
                <w:color w:val="000000"/>
                <w:kern w:val="0"/>
                <w:sz w:val="20"/>
                <w:szCs w:val="20"/>
                <w:highlight w:val="none"/>
                <w:u w:val="single"/>
                <w:lang w:val="en-US" w:eastAsia="zh-CN" w:bidi="ar-SA"/>
              </w:rPr>
              <w:t xml:space="preserve">                     </w:t>
            </w:r>
            <w:r>
              <w:rPr>
                <w:rFonts w:hint="eastAsia" w:ascii="仿宋" w:hAnsi="仿宋" w:eastAsia="仿宋" w:cs="仿宋"/>
                <w:i w:val="0"/>
                <w:iCs w:val="0"/>
                <w:color w:val="000000"/>
                <w:kern w:val="0"/>
                <w:sz w:val="20"/>
                <w:szCs w:val="20"/>
                <w:highlight w:val="none"/>
                <w:u w:val="none"/>
                <w:lang w:val="en-US" w:eastAsia="zh-CN" w:bidi="ar-SA"/>
              </w:rPr>
              <w:t>。</w:t>
            </w:r>
          </w:p>
        </w:tc>
      </w:tr>
      <w:tr>
        <w:tblPrEx>
          <w:tblCellMar>
            <w:top w:w="0" w:type="dxa"/>
            <w:left w:w="108" w:type="dxa"/>
            <w:bottom w:w="0" w:type="dxa"/>
            <w:right w:w="108" w:type="dxa"/>
          </w:tblCellMar>
        </w:tblPrEx>
        <w:trPr>
          <w:trHeight w:val="90" w:hRule="atLeast"/>
          <w:jc w:val="center"/>
        </w:trPr>
        <w:tc>
          <w:tcPr>
            <w:tcW w:w="10360"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tabs>
                <w:tab w:val="left" w:pos="1787"/>
              </w:tabs>
              <w:kinsoku/>
              <w:wordWrap/>
              <w:overflowPunct/>
              <w:topLinePunct w:val="0"/>
              <w:autoSpaceDE/>
              <w:autoSpaceDN/>
              <w:bidi w:val="0"/>
              <w:adjustRightInd/>
              <w:snapToGrid/>
              <w:spacing w:line="300" w:lineRule="exact"/>
              <w:jc w:val="both"/>
              <w:textAlignment w:val="auto"/>
              <w:rPr>
                <w:rFonts w:hint="default" w:ascii="仿宋" w:hAnsi="仿宋" w:eastAsia="仿宋" w:cs="仿宋"/>
                <w:i w:val="0"/>
                <w:iCs w:val="0"/>
                <w:color w:val="000000"/>
                <w:sz w:val="20"/>
                <w:szCs w:val="20"/>
                <w:highlight w:val="none"/>
                <w:u w:val="none"/>
                <w:lang w:val="en-US" w:eastAsia="zh-CN" w:bidi="ar-SA"/>
              </w:rPr>
            </w:pPr>
            <w:r>
              <w:rPr>
                <w:rFonts w:hint="eastAsia" w:ascii="仿宋" w:hAnsi="仿宋" w:eastAsia="仿宋" w:cs="仿宋"/>
                <w:i w:val="0"/>
                <w:iCs w:val="0"/>
                <w:color w:val="000000"/>
                <w:sz w:val="20"/>
                <w:szCs w:val="20"/>
                <w:highlight w:val="none"/>
                <w:u w:val="none"/>
                <w:lang w:val="en-US" w:eastAsia="zh-CN" w:bidi="ar-SA"/>
              </w:rPr>
              <w:t>注：若综合评判上一项填“否”，且本人无意纳入监测户，以下询问项跳过，只需最后签字。</w:t>
            </w:r>
          </w:p>
        </w:tc>
      </w:tr>
      <w:tr>
        <w:tblPrEx>
          <w:tblCellMar>
            <w:top w:w="0" w:type="dxa"/>
            <w:left w:w="108" w:type="dxa"/>
            <w:bottom w:w="0" w:type="dxa"/>
            <w:right w:w="108" w:type="dxa"/>
          </w:tblCellMar>
        </w:tblPrEx>
        <w:trPr>
          <w:trHeight w:val="90" w:hRule="atLeast"/>
          <w:jc w:val="center"/>
        </w:trPr>
        <w:tc>
          <w:tcPr>
            <w:tcW w:w="268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SA"/>
              </w:rPr>
              <w:t>是否存在慎重纳入监测对象的情形</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（如有请打“√”）</w:t>
            </w: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购买商品房、门市房等在自然资源部门存在不动产登记(不含因灾重建、拆迁建房)</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家庭成员拥有小轿车、载客机动船舶、工程机械、大型农机具等</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家庭成员作为企业法人或股东在工商部门注册有企业且有年审记录的，或长期雇用他人从事生产经营活动</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家庭成员中有财政供养人员的（不含公益性岗位和临聘人员）</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举家外出2年以上，不在当地居住、生产和生活的农户；为享受监测对象帮扶支持，故意分户、并户、空挂户的</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子女完全有赡养能力的老人户</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集中供养的特困供养人员（不含孤儿）</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存在虚报家庭开支、隐瞒家庭资产财产、自费出国、高消费等情况的</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sz w:val="20"/>
                <w:szCs w:val="20"/>
                <w:highlight w:val="none"/>
                <w:u w:val="none"/>
                <w:lang w:bidi="ar-SA"/>
              </w:rPr>
              <w:t>因保健、美容等非必要医疗开支，入读贵族学校开支巨大，导致家庭困难的</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sz w:val="20"/>
                <w:szCs w:val="20"/>
                <w:highlight w:val="none"/>
                <w:u w:val="none"/>
                <w:lang w:bidi="ar-SA"/>
              </w:rPr>
              <w:t>具有劳动能力但不积极参与劳动，导致生活困难的</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c>
          <w:tcPr>
            <w:tcW w:w="5878"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其他明显不符合监测对象条件的情形</w:t>
            </w:r>
          </w:p>
        </w:tc>
        <w:tc>
          <w:tcPr>
            <w:tcW w:w="179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i w:val="0"/>
                <w:iCs w:val="0"/>
                <w:color w:val="000000"/>
                <w:sz w:val="20"/>
                <w:szCs w:val="20"/>
                <w:highlight w:val="none"/>
                <w:u w:val="none"/>
                <w:lang w:bidi="ar-SA"/>
              </w:rPr>
            </w:pPr>
          </w:p>
        </w:tc>
      </w:tr>
      <w:tr>
        <w:tblPrEx>
          <w:tblCellMar>
            <w:top w:w="0" w:type="dxa"/>
            <w:left w:w="108" w:type="dxa"/>
            <w:bottom w:w="0" w:type="dxa"/>
            <w:right w:w="108" w:type="dxa"/>
          </w:tblCellMar>
        </w:tblPrEx>
        <w:trPr>
          <w:trHeight w:val="90" w:hRule="atLeast"/>
          <w:jc w:val="center"/>
        </w:trPr>
        <w:tc>
          <w:tcPr>
            <w:tcW w:w="268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kern w:val="0"/>
                <w:sz w:val="20"/>
                <w:szCs w:val="20"/>
                <w:highlight w:val="none"/>
                <w:u w:val="none"/>
                <w:lang w:val="en-US" w:eastAsia="zh-CN" w:bidi="ar-SA"/>
              </w:rPr>
            </w:pPr>
            <w:r>
              <w:rPr>
                <w:rFonts w:hint="eastAsia" w:ascii="仿宋" w:hAnsi="仿宋" w:eastAsia="仿宋" w:cs="仿宋"/>
                <w:i w:val="0"/>
                <w:iCs w:val="0"/>
                <w:color w:val="000000"/>
                <w:kern w:val="0"/>
                <w:sz w:val="20"/>
                <w:szCs w:val="20"/>
                <w:highlight w:val="none"/>
                <w:u w:val="none"/>
                <w:lang w:val="en-US" w:eastAsia="zh-CN" w:bidi="ar-SA"/>
              </w:rPr>
              <w:t>初步排查意见</w:t>
            </w:r>
          </w:p>
        </w:tc>
        <w:tc>
          <w:tcPr>
            <w:tcW w:w="76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color w:val="000000"/>
                <w:kern w:val="0"/>
                <w:sz w:val="20"/>
                <w:szCs w:val="20"/>
                <w:highlight w:val="none"/>
                <w:u w:val="none"/>
                <w:lang w:val="en-US" w:eastAsia="zh-CN" w:bidi="ar-SA"/>
              </w:rPr>
            </w:pPr>
            <w:r>
              <w:rPr>
                <w:rFonts w:hint="eastAsia" w:ascii="仿宋" w:hAnsi="仿宋" w:eastAsia="仿宋" w:cs="仿宋"/>
                <w:i w:val="0"/>
                <w:color w:val="000000"/>
                <w:kern w:val="0"/>
                <w:sz w:val="20"/>
                <w:szCs w:val="20"/>
                <w:highlight w:val="none"/>
                <w:u w:val="none"/>
                <w:lang w:val="en-US" w:eastAsia="zh-CN" w:bidi="ar-SA"/>
              </w:rPr>
              <w:t>□建议纳入监测对象       □建议不纳入监测对象</w:t>
            </w:r>
          </w:p>
        </w:tc>
      </w:tr>
      <w:tr>
        <w:tblPrEx>
          <w:tblCellMar>
            <w:top w:w="0" w:type="dxa"/>
            <w:left w:w="108" w:type="dxa"/>
            <w:bottom w:w="0" w:type="dxa"/>
            <w:right w:w="108" w:type="dxa"/>
          </w:tblCellMar>
        </w:tblPrEx>
        <w:trPr>
          <w:trHeight w:val="90" w:hRule="atLeast"/>
          <w:jc w:val="center"/>
        </w:trPr>
        <w:tc>
          <w:tcPr>
            <w:tcW w:w="10360"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 w:hAnsi="仿宋" w:eastAsia="仿宋" w:cs="仿宋"/>
                <w:i w:val="0"/>
                <w:iCs w:val="0"/>
                <w:color w:val="000000"/>
                <w:sz w:val="20"/>
                <w:szCs w:val="20"/>
                <w:highlight w:val="none"/>
                <w:u w:val="none"/>
                <w:lang w:bidi="ar-SA"/>
              </w:rPr>
            </w:pPr>
            <w:r>
              <w:rPr>
                <w:rFonts w:hint="eastAsia" w:ascii="仿宋" w:hAnsi="仿宋" w:eastAsia="仿宋" w:cs="仿宋"/>
                <w:i w:val="0"/>
                <w:iCs w:val="0"/>
                <w:color w:val="000000"/>
                <w:kern w:val="0"/>
                <w:sz w:val="20"/>
                <w:szCs w:val="20"/>
                <w:highlight w:val="none"/>
                <w:u w:val="none"/>
                <w:lang w:val="en-US" w:eastAsia="zh-CN" w:bidi="ar-SA"/>
              </w:rPr>
              <w:t xml:space="preserve">农户签字：                                  排查人签字：         </w:t>
            </w:r>
          </w:p>
        </w:tc>
      </w:tr>
    </w:tbl>
    <w:p/>
    <w:p>
      <w:pPr>
        <w:pStyle w:val="5"/>
        <w:rPr>
          <w:rFonts w:hint="eastAsi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rPr>
      </w:pPr>
    </w:p>
    <w:p>
      <w:pPr>
        <w:pStyle w:val="8"/>
        <w:rPr>
          <w:rFonts w:hint="eastAsia" w:ascii="仿宋_GB2312" w:hAnsi="仿宋_GB2312" w:eastAsia="仿宋_GB2312" w:cs="仿宋_GB2312"/>
        </w:rPr>
      </w:pPr>
    </w:p>
    <w:p>
      <w:pPr>
        <w:pStyle w:val="9"/>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4"/>
        <w:rPr>
          <w:rFonts w:hint="eastAsia" w:ascii="仿宋_GB2312" w:hAnsi="仿宋_GB2312" w:eastAsia="仿宋_GB2312" w:cs="仿宋_GB2312"/>
        </w:rPr>
      </w:pPr>
    </w:p>
    <w:p>
      <w:pPr>
        <w:pStyle w:val="1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28"/>
          <w:szCs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43180</wp:posOffset>
                </wp:positionV>
                <wp:extent cx="5615940" cy="0"/>
                <wp:effectExtent l="0" t="0" r="0" b="0"/>
                <wp:wrapNone/>
                <wp:docPr id="2" name="直接连接符 2"/>
                <wp:cNvGraphicFramePr/>
                <a:graphic xmlns:a="http://schemas.openxmlformats.org/drawingml/2006/main">
                  <a:graphicData uri="http://schemas.microsoft.com/office/word/2010/wordprocessingShape">
                    <wps:wsp>
                      <wps:cNvCnPr/>
                      <wps:spPr>
                        <a:xfrm>
                          <a:off x="881380" y="8825865"/>
                          <a:ext cx="56159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8pt;margin-top:3.4pt;height:0pt;width:442.2pt;z-index:251659264;mso-width-relative:page;mso-height-relative:page;" filled="f" stroked="t" coordsize="21600,21600" o:gfxdata="UEsDBAoAAAAAAIdO4kAAAAAAAAAAAAAAAAAEAAAAZHJzL1BLAwQUAAAACACHTuJAxR2kytQAAAAF&#10;AQAADwAAAGRycy9kb3ducmV2LnhtbE2PzU7DMBCE70i8g7VI3KhThKI2jVMJpJxAVE3LgZsbb5OU&#10;eJ3a7g9vz5ZLexzNaOabfH62vTiiD50jBeNRAgKpdqajRsF6VT5NQISoyejeESr4xQDz4v4u15lx&#10;J1risYqN4BIKmVbQxjhkUoa6RavDyA1I7G2dtzqy9I00Xp+43PbyOUlSaXVHvNDqAd9arH+qg1Ww&#10;xc+v9+Bx/7FfvH6X1WJnm3Kl1OPDOJmBiHiO1zBc8BkdCmbauAOZIHoF05SDClLmZ3cyfeFnm38t&#10;i1ze0hd/UEsDBBQAAAAIAIdO4kAtIwid7gEAALwDAAAOAAAAZHJzL2Uyb0RvYy54bWytU82O0zAQ&#10;viPxDpbvNG0gVTZquoetlguCSsADuI6dWPKfPN6mfQleAIkbnDhy523YfQzGTveXyx7IwRl7Zr6Z&#10;7/N4dX4wmuxFAOVsSxezOSXCctcp27f086fLVzUlEJntmHZWtPQogJ6vX75Yjb4RpRuc7kQgCGKh&#10;GX1Lhxh9UxTAB2EYzJwXFp3SBcMibkNfdIGNiG50Uc7ny2J0ofPBcQGAp5vJSU+I4TmATkrFxcbx&#10;KyNsnFCD0CwiJRiUB7rO3UopePwgJYhIdEuRacwrFkF7l9ZivWJNH5gfFD+1wJ7TwhNOhimLRe+g&#10;NiwychXUP1BG8eDAyTjjzhQTkawIsljMn2jzcWBeZC4oNfg70eH/wfL3+20gqmtpSYllBi/8+uuv&#10;P1++3/z+huv1zx+kTCKNHhqMvbDbcNqB34bE+CCDSX/kQg4trevF6xrVPSazrOplNWksDpFw9FfL&#10;RXX2BgM4RmT9i3sMHyC+Fc6QZLRUK5vos4bt30HEuhh6G5KOrbtUWucr1JaMLT2rygqRGY6lxHFA&#10;03ikBranhOke553HkBHBadWl7IQDod9d6ED2LE1J/lLTWO1RWCq9YTBMcdk1cTMq4pPQyiDnh9na&#10;IkhSbtIqWTvXHbOE+RwvNZc5DWCamof7nH3/6NZ/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Ud&#10;pMrUAAAABQEAAA8AAAAAAAAAAQAgAAAAIgAAAGRycy9kb3ducmV2LnhtbFBLAQIUABQAAAAIAIdO&#10;4kAtIwid7gEAALwDAAAOAAAAAAAAAAEAIAAAACMBAABkcnMvZTJvRG9jLnhtbFBLBQYAAAAABgAG&#10;AFkBAACDBQAAAAA=&#10;">
                <v:fill on="f" focussize="0,0"/>
                <v:stroke color="#000000 [3213]" miterlimit="8" joinstyle="miter"/>
                <v:imagedata o:title=""/>
                <o:lock v:ext="edit" aspectratio="f"/>
              </v:line>
            </w:pict>
          </mc:Fallback>
        </mc:AlternateContent>
      </w:r>
      <w:r>
        <w:rPr>
          <w:rFonts w:hint="eastAsia" w:ascii="仿宋_GB2312" w:hAnsi="仿宋_GB2312" w:cs="仿宋_GB2312"/>
          <w:sz w:val="28"/>
          <w:szCs w:val="28"/>
          <w:lang w:val="en-US" w:eastAsia="zh-CN"/>
        </w:rPr>
        <w:t>中共</w:t>
      </w:r>
      <w:r>
        <w:rPr>
          <w:rFonts w:hint="eastAsia" w:ascii="仿宋_GB2312" w:hAnsi="仿宋_GB2312" w:eastAsia="仿宋_GB2312" w:cs="仿宋_GB2312"/>
          <w:sz w:val="28"/>
          <w:szCs w:val="28"/>
          <w:lang w:eastAsia="zh-CN"/>
        </w:rPr>
        <w:t>右玉</w:t>
      </w:r>
      <w:r>
        <w:rPr>
          <w:rFonts w:hint="eastAsia" w:ascii="仿宋_GB2312" w:hAnsi="仿宋_GB2312" w:cs="仿宋_GB2312"/>
          <w:sz w:val="28"/>
          <w:szCs w:val="28"/>
          <w:lang w:val="en-US" w:eastAsia="zh-CN"/>
        </w:rPr>
        <w:t>县委农村工作</w:t>
      </w:r>
      <w:r>
        <w:rPr>
          <w:rFonts w:hint="eastAsia" w:ascii="仿宋_GB2312" w:hAnsi="仿宋_GB2312" w:eastAsia="仿宋_GB2312" w:cs="仿宋_GB2312"/>
          <w:sz w:val="28"/>
          <w:szCs w:val="28"/>
          <w:lang w:eastAsia="zh-CN"/>
        </w:rPr>
        <w:t>领导小组办公室</w:t>
      </w:r>
      <w:r>
        <w:rPr>
          <w:rFonts w:hint="eastAsia" w:ascii="仿宋_GB2312" w:hAnsi="仿宋_GB2312" w:eastAsia="仿宋_GB2312" w:cs="仿宋_GB2312"/>
          <w:sz w:val="28"/>
          <w:szCs w:val="28"/>
          <w:lang w:val="en-US" w:eastAsia="zh-CN"/>
        </w:rPr>
        <w:t xml:space="preserve">          202</w:t>
      </w:r>
      <w:r>
        <w:rPr>
          <w:rFonts w:hint="eastAsia" w:ascii="仿宋_GB2312" w:hAnsi="仿宋_GB2312" w:cs="仿宋_GB2312"/>
          <w:sz w:val="28"/>
          <w:szCs w:val="28"/>
          <w:lang w:val="en-US" w:eastAsia="zh-CN"/>
        </w:rPr>
        <w:t>1</w:t>
      </w:r>
      <w:r>
        <w:rPr>
          <w:rFonts w:hint="eastAsia" w:ascii="仿宋_GB2312" w:hAnsi="仿宋_GB2312" w:eastAsia="仿宋_GB2312" w:cs="仿宋_GB2312"/>
          <w:sz w:val="28"/>
          <w:szCs w:val="28"/>
          <w:lang w:val="en-US" w:eastAsia="zh-CN"/>
        </w:rPr>
        <w:t>年</w:t>
      </w:r>
      <w:r>
        <w:rPr>
          <w:rFonts w:hint="eastAsia" w:ascii="仿宋_GB2312" w:hAnsi="仿宋_GB2312" w:cs="仿宋_GB2312"/>
          <w:sz w:val="28"/>
          <w:szCs w:val="28"/>
          <w:lang w:val="en-US" w:eastAsia="zh-CN"/>
        </w:rPr>
        <w:t>8</w:t>
      </w:r>
      <w:r>
        <w:rPr>
          <w:rFonts w:hint="eastAsia" w:ascii="仿宋_GB2312" w:hAnsi="仿宋_GB2312" w:eastAsia="仿宋_GB2312" w:cs="仿宋_GB2312"/>
          <w:sz w:val="28"/>
          <w:szCs w:val="28"/>
          <w:lang w:val="en-US" w:eastAsia="zh-CN"/>
        </w:rPr>
        <w:t>月</w:t>
      </w:r>
      <w:r>
        <w:rPr>
          <w:rFonts w:hint="eastAsia" w:ascii="仿宋_GB2312" w:hAnsi="仿宋_GB2312" w:cs="仿宋_GB2312"/>
          <w:sz w:val="28"/>
          <w:szCs w:val="28"/>
          <w:lang w:val="en-US" w:eastAsia="zh-CN"/>
        </w:rPr>
        <w:t>4</w:t>
      </w:r>
      <w:r>
        <w:rPr>
          <w:rFonts w:hint="eastAsia" w:ascii="仿宋_GB2312" w:hAnsi="仿宋_GB2312" w:eastAsia="仿宋_GB2312" w:cs="仿宋_GB2312"/>
          <w:sz w:val="28"/>
          <w:szCs w:val="28"/>
          <w:lang w:val="en-US" w:eastAsia="zh-CN"/>
        </w:rPr>
        <w:t>日印发</w:t>
      </w:r>
    </w:p>
    <w:p>
      <w:pPr>
        <w:pStyle w:val="8"/>
        <w:rPr>
          <w:rFonts w:hint="eastAsia" w:ascii="仿宋_GB2312" w:hAnsi="仿宋_GB2312" w:eastAsia="仿宋_GB2312" w:cs="仿宋_GB2312"/>
        </w:rPr>
      </w:pPr>
      <w:r>
        <w:rPr>
          <w:sz w:val="28"/>
        </w:rPr>
        <mc:AlternateContent>
          <mc:Choice Requires="wps">
            <w:drawing>
              <wp:anchor distT="0" distB="0" distL="114300" distR="114300" simplePos="0" relativeHeight="251661312" behindDoc="0" locked="0" layoutInCell="1" allowOverlap="1">
                <wp:simplePos x="0" y="0"/>
                <wp:positionH relativeFrom="column">
                  <wp:posOffset>60960</wp:posOffset>
                </wp:positionH>
                <wp:positionV relativeFrom="paragraph">
                  <wp:posOffset>58420</wp:posOffset>
                </wp:positionV>
                <wp:extent cx="561594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56159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8pt;margin-top:4.6pt;height:0pt;width:442.2pt;z-index:251661312;mso-width-relative:page;mso-height-relative:page;" filled="f" stroked="t" coordsize="21600,21600" o:gfxdata="UEsDBAoAAAAAAIdO4kAAAAAAAAAAAAAAAAAEAAAAZHJzL1BLAwQUAAAACACHTuJAA2w2adQAAAAF&#10;AQAADwAAAGRycy9kb3ducmV2LnhtbE2PzU7DMBCE70i8g7VI3KjTClVtiFMJpJxAVKRw4LaNt0kg&#10;Xqe2+8Pbs3CB02o0o9lvitXZDepIIfaeDUwnGSjixtueWwOvm+pmASomZIuDZzLwRRFW5eVFgbn1&#10;J36hY51aJSUcczTQpTTmWsemI4dx4kdi8XY+OEwiQ6ttwJOUu0HPsmyuHfYsHzoc6aGj5rM+OAM7&#10;en57jIH2T/v1/XtVrz9cW22Mub6aZnegEp3TXxh+8AUdSmHa+gPbqAYDy7kE5cxAibtY3sqy7a/W&#10;ZaH/05ffUEsDBBQAAAAIAIdO4kAZBDUj4wEAALMDAAAOAAAAZHJzL2Uyb0RvYy54bWytU81uEzEQ&#10;viPxDpbvZJOIVO0qmx4alQuCSMADTLz2riX/yeNmk5fgBZC4wYkjd96G9jEYe9O0lEsP7ME7np9v&#10;/H0eLy/31rCdjKi9a/hsMuVMOuFb7bqGf/p4/eqcM0zgWjDeyYYfJPLL1csXyyHUcu57b1oZGYE4&#10;rIfQ8D6lUFcVil5awIkP0lFQ+Wgh0TZ2VRthIHRrqvl0elYNPrYheiERybseg/yIGJ8D6JXSQq69&#10;uLHSpRE1SgOJKGGvA/JVOa1SUqT3SqFMzDScmKayUhOyt3mtVkuouwih1+J4BHjOEZ5wsqAdNT1B&#10;rSEBu4n6HyirRfToVZoIb6uRSFGEWMymT7T50EOQhQtJjeEkOv4/WPFut4lMtzQJJIkDSzd+++Xn&#10;78/f7n59pfX2x3dGEZJpCFhT9pXbxOMOwyZmznsVbf4TG7Yv0h5O0sp9YoKci7PZ4uI1tRD3seqh&#10;MERMb6S3LBsNN9pl1lDD7i0makap9ynZ7fy1NqbcnHFsaPjFYr4gZKBpVDQFZNpAjNB1nIHpaMxF&#10;igURvdFtrs44GLvtlYlsB3k4ypeJUre/0nLrNWA/5pXQODZWJ3oJRtuGnz+uNo5AslyjQNna+vZQ&#10;dCt+usvS5jh3eVge70v1w1tb/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DbDZp1AAAAAUBAAAP&#10;AAAAAAAAAAEAIAAAACIAAABkcnMvZG93bnJldi54bWxQSwECFAAUAAAACACHTuJAGQQ1I+MBAACz&#10;AwAADgAAAAAAAAABACAAAAAjAQAAZHJzL2Uyb0RvYy54bWxQSwUGAAAAAAYABgBZAQAAeAUAAAAA&#10;">
                <v:fill on="f" focussize="0,0"/>
                <v:stroke color="#000000 [3213]" miterlimit="8" joinstyle="miter"/>
                <v:imagedata o:title=""/>
                <o:lock v:ext="edit" aspectratio="f"/>
              </v:line>
            </w:pict>
          </mc:Fallback>
        </mc:AlternateContent>
      </w:r>
    </w:p>
    <w:sectPr>
      <w:footerReference r:id="rId5" w:type="default"/>
      <w:footerReference r:id="rId6" w:type="even"/>
      <w:pgSz w:w="11906" w:h="16838"/>
      <w:pgMar w:top="1871"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snapToGrid w:val="0"/>
      <w:jc w:val="left"/>
      <w:textAlignment w:val="baseline"/>
      <w:rPr>
        <w:rStyle w:val="18"/>
        <w:rFonts w:ascii="Calibri" w:hAnsi="Calibri" w:eastAsia="宋体"/>
        <w:kern w:val="2"/>
        <w:sz w:val="18"/>
        <w:szCs w:val="24"/>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Style w:val="18"/>
        <w:rFonts w:ascii="Calibri" w:hAnsi="Calibri" w:eastAsia="宋体"/>
        <w:kern w:val="2"/>
        <w:sz w:val="18"/>
        <w:szCs w:val="24"/>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10"/>
                            <w:widowControl/>
                            <w:snapToGrid w:val="0"/>
                            <w:jc w:val="left"/>
                            <w:textAlignment w:val="baseline"/>
                            <w:rPr>
                              <w:rStyle w:val="18"/>
                              <w:rFonts w:ascii="Calibri" w:hAnsi="Calibri" w:eastAsia="宋体"/>
                              <w:kern w:val="2"/>
                              <w:sz w:val="18"/>
                              <w:szCs w:val="24"/>
                              <w:lang w:val="en-US" w:eastAsia="zh-CN"/>
                            </w:rPr>
                          </w:pPr>
                        </w:p>
                        <w:p>
                          <w:pPr>
                            <w:jc w:val="both"/>
                            <w:textAlignment w:val="baseline"/>
                            <w:rPr>
                              <w:rStyle w:val="18"/>
                              <w:rFonts w:ascii="Calibri" w:hAnsi="Calibri" w:eastAsia="宋体"/>
                              <w:kern w:val="2"/>
                              <w:sz w:val="21"/>
                              <w:szCs w:val="24"/>
                              <w:lang w:val="en-US" w:eastAsia="zh-CN"/>
                            </w:rPr>
                          </w:pPr>
                        </w:p>
                      </w:txbxContent>
                    </wps:txbx>
                    <wps:bodyPr lIns="0" tIns="0" rIns="0" bIns="0" upright="1"/>
                  </wps:wsp>
                </a:graphicData>
              </a:graphic>
            </wp:anchor>
          </w:drawing>
        </mc:Choice>
        <mc:Fallback>
          <w:pict>
            <v:rect id="矩形 1026" o:spid="_x0000_s1026" o:spt="1" style="position:absolute;left:0pt;margin-top:0pt;height:144pt;width:144pt;mso-position-horizontal:center;mso-position-horizontal-relative:margin;z-index:251661312;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HOkZR+uAQAAaQMAAA4AAABkcnMvZTJvRG9jLnhtbK1TS27bMBDd&#10;F+gdCO5rSl4EhmA5GyNFgKANkPYANEVaBPjDkLbk0xTorofocYpeo0NKctJ0k0U31Mxw9PjeG3J7&#10;O1pDzhKi9q6l9aqiRDrhO+2OLf365e7DhpKYuOu48U629CIjvd29f7cdQiPXvvemk0AQxMVmCC3t&#10;UwoNY1H00vK48kE63FQeLE+YwpF1wAdEt4atq+qGDR66AF7IGLG6nzbpjAhvAfRKaSH3XpysdGlC&#10;BWl4Qkmx1yHSXWGrlBTps1JRJmJaikpTWfEQjA95Zbstb47AQ6/FTIG/hcIrTZZrh4deofY8cXIC&#10;/Q+U1QJ89CqthLdsElIcQRV19cqbp54HWbSg1TFcTY//D1Z8Oj8C0R3eBEoctzjw399+/Pr5ndTV&#10;+ibbM4TYYNdTeIQ5ixhmraMCm7+ogozF0svVUjkmIrBYb9abTYVuC9xbEsRhz78HiOmj9JbkoKWA&#10;MytW8vNDTFPr0pJPc/5OG4N13hj3VwExc4VlxhPHHKXxMM7ED767oFpz79DBfBuWAJbgsASnAPrY&#10;I506e1AgcQKF93xb8ohf5qXr+YXs/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ZrZjy0wAAAAUB&#10;AAAPAAAAAAAAAAEAIAAAACIAAABkcnMvZG93bnJldi54bWxQSwECFAAUAAAACACHTuJAc6RlH64B&#10;AABpAwAADgAAAAAAAAABACAAAAAiAQAAZHJzL2Uyb0RvYy54bWxQSwUGAAAAAAYABgBZAQAAQgUA&#10;AAAA&#10;">
              <v:fill on="f" focussize="0,0"/>
              <v:stroke on="f"/>
              <v:imagedata o:title=""/>
              <o:lock v:ext="edit" aspectratio="f"/>
              <v:textbox inset="0mm,0mm,0mm,0mm">
                <w:txbxContent>
                  <w:p>
                    <w:pPr>
                      <w:pStyle w:val="10"/>
                      <w:widowControl/>
                      <w:snapToGrid w:val="0"/>
                      <w:jc w:val="left"/>
                      <w:textAlignment w:val="baseline"/>
                      <w:rPr>
                        <w:rStyle w:val="18"/>
                        <w:rFonts w:ascii="Calibri" w:hAnsi="Calibri" w:eastAsia="宋体"/>
                        <w:kern w:val="2"/>
                        <w:sz w:val="18"/>
                        <w:szCs w:val="24"/>
                        <w:lang w:val="en-US" w:eastAsia="zh-CN"/>
                      </w:rPr>
                    </w:pPr>
                  </w:p>
                  <w:p>
                    <w:pPr>
                      <w:jc w:val="both"/>
                      <w:textAlignment w:val="baseline"/>
                      <w:rPr>
                        <w:rStyle w:val="18"/>
                        <w:rFonts w:ascii="Calibri" w:hAnsi="Calibri" w:eastAsia="宋体"/>
                        <w:kern w:val="2"/>
                        <w:sz w:val="21"/>
                        <w:szCs w:val="24"/>
                        <w:lang w:val="en-US" w:eastAsia="zh-CN"/>
                      </w:rP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snapToGrid w:val="0"/>
      <w:jc w:val="left"/>
      <w:textAlignment w:val="baseline"/>
      <w:rPr>
        <w:rStyle w:val="18"/>
        <w:rFonts w:ascii="Calibri" w:hAnsi="Calibri" w:eastAsia="宋体"/>
        <w:kern w:val="2"/>
        <w:sz w:val="18"/>
        <w:szCs w:val="24"/>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Style w:val="18"/>
        <w:rFonts w:ascii="Calibri" w:hAnsi="Calibri" w:eastAsia="宋体"/>
        <w:kern w:val="2"/>
        <w:sz w:val="18"/>
        <w:szCs w:val="24"/>
        <w:lang w:val="en-US"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10"/>
                            <w:widowControl/>
                            <w:snapToGrid w:val="0"/>
                            <w:jc w:val="left"/>
                            <w:textAlignment w:val="baseline"/>
                            <w:rPr>
                              <w:rStyle w:val="18"/>
                              <w:rFonts w:ascii="Calibri" w:hAnsi="Calibri" w:eastAsia="宋体"/>
                              <w:kern w:val="2"/>
                              <w:sz w:val="18"/>
                              <w:szCs w:val="24"/>
                              <w:lang w:val="en-US" w:eastAsia="zh-CN"/>
                            </w:rPr>
                          </w:pPr>
                        </w:p>
                        <w:p>
                          <w:pPr>
                            <w:jc w:val="both"/>
                            <w:textAlignment w:val="baseline"/>
                            <w:rPr>
                              <w:rStyle w:val="18"/>
                              <w:rFonts w:ascii="Calibri" w:hAnsi="Calibri" w:eastAsia="宋体"/>
                              <w:kern w:val="2"/>
                              <w:sz w:val="21"/>
                              <w:szCs w:val="24"/>
                              <w:lang w:val="en-US" w:eastAsia="zh-CN"/>
                            </w:rPr>
                          </w:pPr>
                        </w:p>
                      </w:txbxContent>
                    </wps:txbx>
                    <wps:bodyPr lIns="0" tIns="0" rIns="0" bIns="0" upright="1"/>
                  </wps:wsp>
                </a:graphicData>
              </a:graphic>
            </wp:anchor>
          </w:drawing>
        </mc:Choice>
        <mc:Fallback>
          <w:pict>
            <v:rect id="矩形 1026" o:spid="_x0000_s1026" o:spt="1" style="position:absolute;left:0pt;margin-top:0pt;height:144pt;width:144pt;mso-position-horizontal:center;mso-position-horizontal-relative:margin;z-index:251663360;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F4enG6uAQAAaQMAAA4AAABkcnMvZTJvRG9jLnhtbK1TS27bMBDd&#10;F+gdCO5rSl4EhmA5GyNFgKANkPYANEVaBPjDkLbk0xTorofocYpeo0NKctJ0k0U31Mxw9PjeG3J7&#10;O1pDzhKi9q6l9aqiRDrhO+2OLf365e7DhpKYuOu48U629CIjvd29f7cdQiPXvvemk0AQxMVmCC3t&#10;UwoNY1H00vK48kE63FQeLE+YwpF1wAdEt4atq+qGDR66AF7IGLG6nzbpjAhvAfRKaSH3XpysdGlC&#10;BWl4Qkmx1yHSXWGrlBTps1JRJmJaikpTWfEQjA95Zbstb47AQ6/FTIG/hcIrTZZrh4deofY8cXIC&#10;/Q+U1QJ89CqthLdsElIcQRV19cqbp54HWbSg1TFcTY//D1Z8Oj8C0V1LceyOWxz4728/fv38Tupq&#10;fZPtGUJssOspPMKcRQyz1lGBzV9UQcZi6eVqqRwTEVisN+vNpkK3Be4tCeKw598DxPRRekty0FLA&#10;mRUr+fkhpql1acmnOX+njcE6b4z7q4CYucIy44ljjtJ4GGfiB99dUK25d+hgvg1LAEtwWIJTAH3s&#10;kU6dPSiQOIHCe74tecQv89L1/EJ2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ZrZjy0wAAAAUB&#10;AAAPAAAAAAAAAAEAIAAAACIAAABkcnMvZG93bnJldi54bWxQSwECFAAUAAAACACHTuJAXh6cbq4B&#10;AABpAwAADgAAAAAAAAABACAAAAAiAQAAZHJzL2Uyb0RvYy54bWxQSwUGAAAAAAYABgBZAQAAQgUA&#10;AAAA&#10;">
              <v:fill on="f" focussize="0,0"/>
              <v:stroke on="f"/>
              <v:imagedata o:title=""/>
              <o:lock v:ext="edit" aspectratio="f"/>
              <v:textbox inset="0mm,0mm,0mm,0mm">
                <w:txbxContent>
                  <w:p>
                    <w:pPr>
                      <w:pStyle w:val="10"/>
                      <w:widowControl/>
                      <w:snapToGrid w:val="0"/>
                      <w:jc w:val="left"/>
                      <w:textAlignment w:val="baseline"/>
                      <w:rPr>
                        <w:rStyle w:val="18"/>
                        <w:rFonts w:ascii="Calibri" w:hAnsi="Calibri" w:eastAsia="宋体"/>
                        <w:kern w:val="2"/>
                        <w:sz w:val="18"/>
                        <w:szCs w:val="24"/>
                        <w:lang w:val="en-US" w:eastAsia="zh-CN"/>
                      </w:rPr>
                    </w:pPr>
                  </w:p>
                  <w:p>
                    <w:pPr>
                      <w:jc w:val="both"/>
                      <w:textAlignment w:val="baseline"/>
                      <w:rPr>
                        <w:rStyle w:val="18"/>
                        <w:rFonts w:ascii="Calibri" w:hAnsi="Calibri" w:eastAsia="宋体"/>
                        <w:kern w:val="2"/>
                        <w:sz w:val="21"/>
                        <w:szCs w:val="24"/>
                        <w:lang w:val="en-US" w:eastAsia="zh-CN"/>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posOffset>4814570</wp:posOffset>
              </wp:positionH>
              <wp:positionV relativeFrom="paragraph">
                <wp:posOffset>-165735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autoSpaceDE/>
                            <w:autoSpaceDN/>
                            <w:bidi w:val="0"/>
                            <w:adjustRightInd/>
                            <w:snapToGrid w:val="0"/>
                            <w:ind w:right="640" w:rightChars="200"/>
                            <w:textAlignment w:val="auto"/>
                            <w:rPr>
                              <w:rFonts w:hint="default" w:ascii="Times New Roman" w:hAnsi="Times New Roman" w:eastAsia="仿宋_GB2312" w:cs="Times New Roman"/>
                              <w:sz w:val="28"/>
                              <w:szCs w:val="52"/>
                              <w:lang w:val="en-US" w:eastAsia="zh-CN"/>
                            </w:rPr>
                          </w:pPr>
                          <w:r>
                            <w:rPr>
                              <w:rFonts w:hint="default" w:ascii="Times New Roman" w:hAnsi="Times New Roman" w:cs="Times New Roman"/>
                              <w:sz w:val="28"/>
                              <w:szCs w:val="52"/>
                              <w:lang w:eastAsia="zh-CN"/>
                            </w:rPr>
                            <w:t>—</w:t>
                          </w:r>
                          <w:r>
                            <w:rPr>
                              <w:rFonts w:hint="default" w:ascii="Times New Roman" w:hAnsi="Times New Roman" w:cs="Times New Roman"/>
                              <w:sz w:val="28"/>
                              <w:szCs w:val="52"/>
                              <w:lang w:val="en-US" w:eastAsia="zh-CN"/>
                            </w:rPr>
                            <w:t xml:space="preserve"> </w:t>
                          </w:r>
                          <w:r>
                            <w:rPr>
                              <w:rFonts w:hint="default" w:ascii="Times New Roman" w:hAnsi="Times New Roman" w:cs="Times New Roman"/>
                              <w:sz w:val="28"/>
                              <w:szCs w:val="52"/>
                            </w:rPr>
                            <w:fldChar w:fldCharType="begin"/>
                          </w:r>
                          <w:r>
                            <w:rPr>
                              <w:rFonts w:hint="default" w:ascii="Times New Roman" w:hAnsi="Times New Roman" w:cs="Times New Roman"/>
                              <w:sz w:val="28"/>
                              <w:szCs w:val="52"/>
                            </w:rPr>
                            <w:instrText xml:space="preserve"> PAGE  \* MERGEFORMAT </w:instrText>
                          </w:r>
                          <w:r>
                            <w:rPr>
                              <w:rFonts w:hint="default" w:ascii="Times New Roman" w:hAnsi="Times New Roman" w:cs="Times New Roman"/>
                              <w:sz w:val="28"/>
                              <w:szCs w:val="52"/>
                            </w:rPr>
                            <w:fldChar w:fldCharType="separate"/>
                          </w:r>
                          <w:r>
                            <w:rPr>
                              <w:rFonts w:hint="default" w:ascii="Times New Roman" w:hAnsi="Times New Roman" w:cs="Times New Roman"/>
                              <w:sz w:val="28"/>
                              <w:szCs w:val="52"/>
                            </w:rPr>
                            <w:t>1</w:t>
                          </w:r>
                          <w:r>
                            <w:rPr>
                              <w:rFonts w:hint="default" w:ascii="Times New Roman" w:hAnsi="Times New Roman" w:cs="Times New Roman"/>
                              <w:sz w:val="28"/>
                              <w:szCs w:val="52"/>
                            </w:rPr>
                            <w:fldChar w:fldCharType="end"/>
                          </w:r>
                          <w:r>
                            <w:rPr>
                              <w:rFonts w:hint="default" w:ascii="Times New Roman" w:hAnsi="Times New Roman" w:cs="Times New Roman"/>
                              <w:sz w:val="28"/>
                              <w:szCs w:val="5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9.1pt;margin-top:-13.05pt;height:144pt;width:144pt;mso-position-horizontal-relative:margin;mso-wrap-style:none;z-index:251659264;mso-width-relative:page;mso-height-relative:page;" filled="f" stroked="f" coordsize="21600,21600" o:gfxdata="UEsDBAoAAAAAAIdO4kAAAAAAAAAAAAAAAAAEAAAAZHJzL1BLAwQUAAAACACHTuJAMZ3JatgAAAAM&#10;AQAADwAAAGRycy9kb3ducmV2LnhtbE2PwU7DMAyG70i8Q2QkblvSMspWmk5iohyRWDlwzBqvLTRO&#10;lWRdeXuyEzv696ffn4vtbAY2ofO9JQnJUgBDaqzuqZXwWVeLNTAfFGk1WEIJv+hhW97eFCrX9kwf&#10;OO1Dy2IJ+VxJ6EIYc85906FRfmlHpLg7WmdUiKNruXbqHMvNwFMhMm5UT/FCp0bcddj87E9Gwq6q&#10;azehd8MXvlUP3+8vK3ydpby/S8QzsIBz+Ifhoh/VoYxOB3si7dkg4elxnUZUwiLNEmAXQqyyGB0k&#10;xGQDvCz49RPlH1BLAwQUAAAACACHTuJAf46tETICAABhBAAADgAAAGRycy9lMm9Eb2MueG1srVTN&#10;jtMwEL4j8Q6W7zRpUVd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eTt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GdyWrYAAAADAEAAA8AAAAAAAAAAQAgAAAAIgAAAGRycy9kb3ducmV2Lnht&#10;bFBLAQIUABQAAAAIAIdO4kB/jq0RMgIAAGEEAAAOAAAAAAAAAAEAIAAAACcBAABkcnMvZTJvRG9j&#10;LnhtbFBLBQYAAAAABgAGAFkBAADLBQ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autoSpaceDE/>
                      <w:autoSpaceDN/>
                      <w:bidi w:val="0"/>
                      <w:adjustRightInd/>
                      <w:snapToGrid w:val="0"/>
                      <w:ind w:right="640" w:rightChars="200"/>
                      <w:textAlignment w:val="auto"/>
                      <w:rPr>
                        <w:rFonts w:hint="default" w:ascii="Times New Roman" w:hAnsi="Times New Roman" w:eastAsia="仿宋_GB2312" w:cs="Times New Roman"/>
                        <w:sz w:val="28"/>
                        <w:szCs w:val="52"/>
                        <w:lang w:val="en-US" w:eastAsia="zh-CN"/>
                      </w:rPr>
                    </w:pPr>
                    <w:r>
                      <w:rPr>
                        <w:rFonts w:hint="default" w:ascii="Times New Roman" w:hAnsi="Times New Roman" w:cs="Times New Roman"/>
                        <w:sz w:val="28"/>
                        <w:szCs w:val="52"/>
                        <w:lang w:eastAsia="zh-CN"/>
                      </w:rPr>
                      <w:t>—</w:t>
                    </w:r>
                    <w:r>
                      <w:rPr>
                        <w:rFonts w:hint="default" w:ascii="Times New Roman" w:hAnsi="Times New Roman" w:cs="Times New Roman"/>
                        <w:sz w:val="28"/>
                        <w:szCs w:val="52"/>
                        <w:lang w:val="en-US" w:eastAsia="zh-CN"/>
                      </w:rPr>
                      <w:t xml:space="preserve"> </w:t>
                    </w:r>
                    <w:r>
                      <w:rPr>
                        <w:rFonts w:hint="default" w:ascii="Times New Roman" w:hAnsi="Times New Roman" w:cs="Times New Roman"/>
                        <w:sz w:val="28"/>
                        <w:szCs w:val="52"/>
                      </w:rPr>
                      <w:fldChar w:fldCharType="begin"/>
                    </w:r>
                    <w:r>
                      <w:rPr>
                        <w:rFonts w:hint="default" w:ascii="Times New Roman" w:hAnsi="Times New Roman" w:cs="Times New Roman"/>
                        <w:sz w:val="28"/>
                        <w:szCs w:val="52"/>
                      </w:rPr>
                      <w:instrText xml:space="preserve"> PAGE  \* MERGEFORMAT </w:instrText>
                    </w:r>
                    <w:r>
                      <w:rPr>
                        <w:rFonts w:hint="default" w:ascii="Times New Roman" w:hAnsi="Times New Roman" w:cs="Times New Roman"/>
                        <w:sz w:val="28"/>
                        <w:szCs w:val="52"/>
                      </w:rPr>
                      <w:fldChar w:fldCharType="separate"/>
                    </w:r>
                    <w:r>
                      <w:rPr>
                        <w:rFonts w:hint="default" w:ascii="Times New Roman" w:hAnsi="Times New Roman" w:cs="Times New Roman"/>
                        <w:sz w:val="28"/>
                        <w:szCs w:val="52"/>
                      </w:rPr>
                      <w:t>1</w:t>
                    </w:r>
                    <w:r>
                      <w:rPr>
                        <w:rFonts w:hint="default" w:ascii="Times New Roman" w:hAnsi="Times New Roman" w:cs="Times New Roman"/>
                        <w:sz w:val="28"/>
                        <w:szCs w:val="52"/>
                      </w:rPr>
                      <w:fldChar w:fldCharType="end"/>
                    </w:r>
                    <w:r>
                      <w:rPr>
                        <w:rFonts w:hint="default" w:ascii="Times New Roman" w:hAnsi="Times New Roman" w:cs="Times New Roman"/>
                        <w:sz w:val="28"/>
                        <w:szCs w:val="52"/>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posOffset>5715</wp:posOffset>
              </wp:positionH>
              <wp:positionV relativeFrom="paragraph">
                <wp:posOffset>-171450</wp:posOffset>
              </wp:positionV>
              <wp:extent cx="940435"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94043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autoSpaceDE/>
                            <w:autoSpaceDN/>
                            <w:bidi w:val="0"/>
                            <w:adjustRightInd/>
                            <w:snapToGrid w:val="0"/>
                            <w:ind w:left="640" w:leftChars="200"/>
                            <w:textAlignment w:val="auto"/>
                            <w:rPr>
                              <w:rFonts w:hint="default" w:ascii="Times New Roman" w:hAnsi="Times New Roman" w:eastAsia="仿宋_GB2312" w:cs="Times New Roman"/>
                              <w:sz w:val="28"/>
                              <w:szCs w:val="52"/>
                              <w:lang w:val="en-US" w:eastAsia="zh-CN"/>
                            </w:rPr>
                          </w:pPr>
                          <w:r>
                            <w:rPr>
                              <w:rFonts w:hint="default" w:ascii="Times New Roman" w:hAnsi="Times New Roman" w:cs="Times New Roman"/>
                              <w:sz w:val="28"/>
                              <w:szCs w:val="52"/>
                              <w:lang w:eastAsia="zh-CN"/>
                            </w:rPr>
                            <w:t>—</w:t>
                          </w:r>
                          <w:r>
                            <w:rPr>
                              <w:rFonts w:hint="default" w:ascii="Times New Roman" w:hAnsi="Times New Roman" w:cs="Times New Roman"/>
                              <w:sz w:val="28"/>
                              <w:szCs w:val="52"/>
                              <w:lang w:val="en-US" w:eastAsia="zh-CN"/>
                            </w:rPr>
                            <w:t xml:space="preserve"> </w:t>
                          </w:r>
                          <w:r>
                            <w:rPr>
                              <w:rFonts w:hint="default" w:ascii="Times New Roman" w:hAnsi="Times New Roman" w:cs="Times New Roman"/>
                              <w:sz w:val="28"/>
                              <w:szCs w:val="52"/>
                            </w:rPr>
                            <w:fldChar w:fldCharType="begin"/>
                          </w:r>
                          <w:r>
                            <w:rPr>
                              <w:rFonts w:hint="default" w:ascii="Times New Roman" w:hAnsi="Times New Roman" w:cs="Times New Roman"/>
                              <w:sz w:val="28"/>
                              <w:szCs w:val="52"/>
                            </w:rPr>
                            <w:instrText xml:space="preserve"> PAGE  \* MERGEFORMAT </w:instrText>
                          </w:r>
                          <w:r>
                            <w:rPr>
                              <w:rFonts w:hint="default" w:ascii="Times New Roman" w:hAnsi="Times New Roman" w:cs="Times New Roman"/>
                              <w:sz w:val="28"/>
                              <w:szCs w:val="52"/>
                            </w:rPr>
                            <w:fldChar w:fldCharType="separate"/>
                          </w:r>
                          <w:r>
                            <w:rPr>
                              <w:rFonts w:hint="default" w:ascii="Times New Roman" w:hAnsi="Times New Roman" w:cs="Times New Roman"/>
                              <w:sz w:val="28"/>
                              <w:szCs w:val="52"/>
                            </w:rPr>
                            <w:t>2</w:t>
                          </w:r>
                          <w:r>
                            <w:rPr>
                              <w:rFonts w:hint="default" w:ascii="Times New Roman" w:hAnsi="Times New Roman" w:cs="Times New Roman"/>
                              <w:sz w:val="28"/>
                              <w:szCs w:val="52"/>
                            </w:rPr>
                            <w:fldChar w:fldCharType="end"/>
                          </w:r>
                          <w:r>
                            <w:rPr>
                              <w:rFonts w:hint="default" w:ascii="Times New Roman" w:hAnsi="Times New Roman" w:cs="Times New Roman"/>
                              <w:sz w:val="28"/>
                              <w:szCs w:val="52"/>
                              <w:lang w:val="en-US" w:eastAsia="zh-CN"/>
                            </w:rPr>
                            <w:t>—</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45pt;margin-top:-13.5pt;height:144pt;width:74.05pt;mso-position-horizontal-relative:margin;z-index:251660288;mso-width-relative:page;mso-height-relative:page;" filled="f" stroked="f" coordsize="21600,21600" o:gfxdata="UEsDBAoAAAAAAIdO4kAAAAAAAAAAAAAAAAAEAAAAZHJzL1BLAwQUAAAACACHTuJAONIEf9YAAAAI&#10;AQAADwAAAGRycy9kb3ducmV2LnhtbE2PMU/DMBCFdyT+g3VIbK2dCBUa4nRA0AEmUoQYr7ETB+Jz&#10;FLtp4ddznWC703v37nvl5uQHMdsp9oE0ZEsFwlITTE+dhrfd0+IORExIBodAVsO3jbCpLi9KLEw4&#10;0qud69QJDqFYoAaX0lhIGRtnPcZlGC2x1obJY+J16qSZ8MjhfpC5UivpsSf+4HC0D842X/XBM8b7&#10;i/Lbn9Z9+GdsY+128/bxU+vrq0zdg0j2lP7McMbnG6iYaR8OZKIYNKzZp2GR33Kjs3yz5mGvIV9l&#10;CmRVyv8Fql9QSwMEFAAAAAgAh07iQAuV1lk3AgAAYgQAAA4AAABkcnMvZTJvRG9jLnhtbK1Uy47T&#10;MBTdI/EPlvc06bxUqqajMlUR0ogZqSDWruM0kfzCdpsMHwB/wIoNe76r38Gx03TQwGIWbNyb+z7n&#10;3tvZdack2QvnG6MLOh7llAjNTdnobUE/fli9mlDiA9Mlk0aLgj4IT6/nL1/MWjsVZ6Y2shSOIIn2&#10;09YWtA7BTrPM81oo5kfGCg1jZZxiAZ9um5WOtciuZHaW51dZa1xpneHCe2iXvZEeM7rnJDRV1XCx&#10;NHynhA59VickC4Dk68Z6Ok/dVpXg4a6qvAhEFhRIQ3pRBPImvtl8xqZbx2zd8GML7DktPMGkWKNR&#10;9JRqyQIjO9f8lUo13BlvqjDiRmU9kMQIUIzzJ9ysa2ZFwgKqvT2R7v9fWv5+f+9IUxb0ihLNFAZ+&#10;+P7t8OPX4edXchXpaa2fwmtt4Re6N6bD0gx6D2VE3VVOxV/gIbCD3IcTuaILhEP5+iK/OL+khMM0&#10;npxNJnliP3uMts6Ht8IoEoWCOgwvccr2tz6gE7gOLrGYNqtGyjRAqUkLBOeXeQo4WRAhNQIjhr7X&#10;KIVu0x2BbUz5AFzO9IvhLV81KH7LfLhnDpsAKLiVcIenkgZFzFGipDbuy7/00R8DgpWSFptVUP95&#10;x5ygRL7TGF1cw0Fwg7AZBL1TNwbLOsYVWp5EBLggB7FyRn3CCS1iFZiY5qhV0DCIN6Hfb5wgF4tF&#10;ctpZ12zrPgCLZ1m41WvLY5lIpbeLXQCdieVIUc/LkTmsXiL/eCZxt//8Tl6Pfw3z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jSBH/WAAAACAEAAA8AAAAAAAAAAQAgAAAAIgAAAGRycy9kb3ducmV2&#10;LnhtbFBLAQIUABQAAAAIAIdO4kALldZZNwIAAGIEAAAOAAAAAAAAAAEAIAAAACUBAABkcnMvZTJv&#10;RG9jLnhtbFBLBQYAAAAABgAGAFkBAADOBQ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autoSpaceDE/>
                      <w:autoSpaceDN/>
                      <w:bidi w:val="0"/>
                      <w:adjustRightInd/>
                      <w:snapToGrid w:val="0"/>
                      <w:ind w:left="640" w:leftChars="200"/>
                      <w:textAlignment w:val="auto"/>
                      <w:rPr>
                        <w:rFonts w:hint="default" w:ascii="Times New Roman" w:hAnsi="Times New Roman" w:eastAsia="仿宋_GB2312" w:cs="Times New Roman"/>
                        <w:sz w:val="28"/>
                        <w:szCs w:val="52"/>
                        <w:lang w:val="en-US" w:eastAsia="zh-CN"/>
                      </w:rPr>
                    </w:pPr>
                    <w:r>
                      <w:rPr>
                        <w:rFonts w:hint="default" w:ascii="Times New Roman" w:hAnsi="Times New Roman" w:cs="Times New Roman"/>
                        <w:sz w:val="28"/>
                        <w:szCs w:val="52"/>
                        <w:lang w:eastAsia="zh-CN"/>
                      </w:rPr>
                      <w:t>—</w:t>
                    </w:r>
                    <w:r>
                      <w:rPr>
                        <w:rFonts w:hint="default" w:ascii="Times New Roman" w:hAnsi="Times New Roman" w:cs="Times New Roman"/>
                        <w:sz w:val="28"/>
                        <w:szCs w:val="52"/>
                        <w:lang w:val="en-US" w:eastAsia="zh-CN"/>
                      </w:rPr>
                      <w:t xml:space="preserve"> </w:t>
                    </w:r>
                    <w:r>
                      <w:rPr>
                        <w:rFonts w:hint="default" w:ascii="Times New Roman" w:hAnsi="Times New Roman" w:cs="Times New Roman"/>
                        <w:sz w:val="28"/>
                        <w:szCs w:val="52"/>
                      </w:rPr>
                      <w:fldChar w:fldCharType="begin"/>
                    </w:r>
                    <w:r>
                      <w:rPr>
                        <w:rFonts w:hint="default" w:ascii="Times New Roman" w:hAnsi="Times New Roman" w:cs="Times New Roman"/>
                        <w:sz w:val="28"/>
                        <w:szCs w:val="52"/>
                      </w:rPr>
                      <w:instrText xml:space="preserve"> PAGE  \* MERGEFORMAT </w:instrText>
                    </w:r>
                    <w:r>
                      <w:rPr>
                        <w:rFonts w:hint="default" w:ascii="Times New Roman" w:hAnsi="Times New Roman" w:cs="Times New Roman"/>
                        <w:sz w:val="28"/>
                        <w:szCs w:val="52"/>
                      </w:rPr>
                      <w:fldChar w:fldCharType="separate"/>
                    </w:r>
                    <w:r>
                      <w:rPr>
                        <w:rFonts w:hint="default" w:ascii="Times New Roman" w:hAnsi="Times New Roman" w:cs="Times New Roman"/>
                        <w:sz w:val="28"/>
                        <w:szCs w:val="52"/>
                      </w:rPr>
                      <w:t>2</w:t>
                    </w:r>
                    <w:r>
                      <w:rPr>
                        <w:rFonts w:hint="default" w:ascii="Times New Roman" w:hAnsi="Times New Roman" w:cs="Times New Roman"/>
                        <w:sz w:val="28"/>
                        <w:szCs w:val="52"/>
                      </w:rPr>
                      <w:fldChar w:fldCharType="end"/>
                    </w:r>
                    <w:r>
                      <w:rPr>
                        <w:rFonts w:hint="default" w:ascii="Times New Roman" w:hAnsi="Times New Roman" w:cs="Times New Roman"/>
                        <w:sz w:val="28"/>
                        <w:szCs w:val="52"/>
                        <w:lang w:val="en-US"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1C077"/>
    <w:multiLevelType w:val="singleLevel"/>
    <w:tmpl w:val="AE71C077"/>
    <w:lvl w:ilvl="0" w:tentative="0">
      <w:start w:val="1"/>
      <w:numFmt w:val="chineseCounting"/>
      <w:suff w:val="nothing"/>
      <w:lvlText w:val="%1、"/>
      <w:lvlJc w:val="left"/>
      <w:rPr>
        <w:rFonts w:hint="eastAsia"/>
      </w:rPr>
    </w:lvl>
  </w:abstractNum>
  <w:abstractNum w:abstractNumId="1">
    <w:nsid w:val="DB496E39"/>
    <w:multiLevelType w:val="singleLevel"/>
    <w:tmpl w:val="DB496E39"/>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1E57C6"/>
    <w:rsid w:val="00294775"/>
    <w:rsid w:val="00556DEF"/>
    <w:rsid w:val="01510518"/>
    <w:rsid w:val="034F6531"/>
    <w:rsid w:val="040E6340"/>
    <w:rsid w:val="043D2ECB"/>
    <w:rsid w:val="05DB6035"/>
    <w:rsid w:val="06D03DB9"/>
    <w:rsid w:val="08924C52"/>
    <w:rsid w:val="09DF6416"/>
    <w:rsid w:val="0A56459C"/>
    <w:rsid w:val="0B1E6095"/>
    <w:rsid w:val="0BE43E2A"/>
    <w:rsid w:val="0C162410"/>
    <w:rsid w:val="0C394176"/>
    <w:rsid w:val="0C803B53"/>
    <w:rsid w:val="0C9266F2"/>
    <w:rsid w:val="0D2B4A89"/>
    <w:rsid w:val="0D555E55"/>
    <w:rsid w:val="0D6E7C2F"/>
    <w:rsid w:val="0D9855ED"/>
    <w:rsid w:val="11D45B27"/>
    <w:rsid w:val="13086650"/>
    <w:rsid w:val="13AD7650"/>
    <w:rsid w:val="1416151A"/>
    <w:rsid w:val="146E586F"/>
    <w:rsid w:val="14A66120"/>
    <w:rsid w:val="14E839AF"/>
    <w:rsid w:val="17603DCB"/>
    <w:rsid w:val="18116D39"/>
    <w:rsid w:val="18835B85"/>
    <w:rsid w:val="19E51F3C"/>
    <w:rsid w:val="19F00846"/>
    <w:rsid w:val="19F17E3E"/>
    <w:rsid w:val="1AB60094"/>
    <w:rsid w:val="1B132036"/>
    <w:rsid w:val="1B4B3441"/>
    <w:rsid w:val="1B58299C"/>
    <w:rsid w:val="1C054074"/>
    <w:rsid w:val="1C16002F"/>
    <w:rsid w:val="1C3C5E9A"/>
    <w:rsid w:val="1E7B6ABE"/>
    <w:rsid w:val="1EFA59E6"/>
    <w:rsid w:val="1F507101"/>
    <w:rsid w:val="2011557A"/>
    <w:rsid w:val="20A35ED2"/>
    <w:rsid w:val="20DD736E"/>
    <w:rsid w:val="212D4695"/>
    <w:rsid w:val="21440893"/>
    <w:rsid w:val="2173382E"/>
    <w:rsid w:val="21F61D9D"/>
    <w:rsid w:val="22D51245"/>
    <w:rsid w:val="2420139C"/>
    <w:rsid w:val="242D5F16"/>
    <w:rsid w:val="242E54F5"/>
    <w:rsid w:val="2726429E"/>
    <w:rsid w:val="28812CD5"/>
    <w:rsid w:val="28AC5FA3"/>
    <w:rsid w:val="28C911AE"/>
    <w:rsid w:val="2ADD45F9"/>
    <w:rsid w:val="2B22693F"/>
    <w:rsid w:val="2C8D1C48"/>
    <w:rsid w:val="2CE25EDE"/>
    <w:rsid w:val="2DBB78E6"/>
    <w:rsid w:val="2E585F8B"/>
    <w:rsid w:val="2FF40230"/>
    <w:rsid w:val="2FFD70E5"/>
    <w:rsid w:val="306356BC"/>
    <w:rsid w:val="3080123F"/>
    <w:rsid w:val="308209BB"/>
    <w:rsid w:val="30D34276"/>
    <w:rsid w:val="3169256C"/>
    <w:rsid w:val="318A7F91"/>
    <w:rsid w:val="333D65DF"/>
    <w:rsid w:val="33CA4E3C"/>
    <w:rsid w:val="357D1995"/>
    <w:rsid w:val="365F5EFC"/>
    <w:rsid w:val="3687583D"/>
    <w:rsid w:val="36927BF4"/>
    <w:rsid w:val="37411FAD"/>
    <w:rsid w:val="376219C9"/>
    <w:rsid w:val="37AE6F16"/>
    <w:rsid w:val="381B5FC0"/>
    <w:rsid w:val="381E57C6"/>
    <w:rsid w:val="382373DA"/>
    <w:rsid w:val="3901696C"/>
    <w:rsid w:val="39C11183"/>
    <w:rsid w:val="3A174133"/>
    <w:rsid w:val="3AA356B0"/>
    <w:rsid w:val="3C73062C"/>
    <w:rsid w:val="3D11232F"/>
    <w:rsid w:val="3EEC6CA2"/>
    <w:rsid w:val="3FD35FAE"/>
    <w:rsid w:val="41B82E6B"/>
    <w:rsid w:val="41EF1370"/>
    <w:rsid w:val="42F97BDF"/>
    <w:rsid w:val="4450382F"/>
    <w:rsid w:val="446D620D"/>
    <w:rsid w:val="46E110B6"/>
    <w:rsid w:val="46F936FA"/>
    <w:rsid w:val="475C24EB"/>
    <w:rsid w:val="48733F90"/>
    <w:rsid w:val="48822425"/>
    <w:rsid w:val="48B56357"/>
    <w:rsid w:val="48BF0F83"/>
    <w:rsid w:val="48FF220A"/>
    <w:rsid w:val="4A126EB7"/>
    <w:rsid w:val="4A790C94"/>
    <w:rsid w:val="4C1B3DFB"/>
    <w:rsid w:val="4CB06452"/>
    <w:rsid w:val="4CB65760"/>
    <w:rsid w:val="4ECA3CBA"/>
    <w:rsid w:val="4EF23F26"/>
    <w:rsid w:val="50AE1BCA"/>
    <w:rsid w:val="51051281"/>
    <w:rsid w:val="512F6795"/>
    <w:rsid w:val="515801C7"/>
    <w:rsid w:val="51F2623D"/>
    <w:rsid w:val="52EB30C1"/>
    <w:rsid w:val="54817A35"/>
    <w:rsid w:val="5572615F"/>
    <w:rsid w:val="55A559A5"/>
    <w:rsid w:val="570676C0"/>
    <w:rsid w:val="575F7961"/>
    <w:rsid w:val="59203FE1"/>
    <w:rsid w:val="5A5B4BE4"/>
    <w:rsid w:val="5AAD6EAB"/>
    <w:rsid w:val="5AF80325"/>
    <w:rsid w:val="5C45595A"/>
    <w:rsid w:val="5CD63E1B"/>
    <w:rsid w:val="5D3349D6"/>
    <w:rsid w:val="5D681792"/>
    <w:rsid w:val="60310561"/>
    <w:rsid w:val="60350781"/>
    <w:rsid w:val="60DA1C91"/>
    <w:rsid w:val="618C6A2A"/>
    <w:rsid w:val="623E77EE"/>
    <w:rsid w:val="63416D0D"/>
    <w:rsid w:val="634C5D79"/>
    <w:rsid w:val="63836C39"/>
    <w:rsid w:val="649607B9"/>
    <w:rsid w:val="64F34C38"/>
    <w:rsid w:val="657C6491"/>
    <w:rsid w:val="661D5A13"/>
    <w:rsid w:val="66582DE9"/>
    <w:rsid w:val="672E57FA"/>
    <w:rsid w:val="674A3DE9"/>
    <w:rsid w:val="681349F0"/>
    <w:rsid w:val="68E1064A"/>
    <w:rsid w:val="69132EFA"/>
    <w:rsid w:val="69601F04"/>
    <w:rsid w:val="69945730"/>
    <w:rsid w:val="69951B60"/>
    <w:rsid w:val="6BB92659"/>
    <w:rsid w:val="6C9D36E3"/>
    <w:rsid w:val="6E4B4EE4"/>
    <w:rsid w:val="6E830E5C"/>
    <w:rsid w:val="6E875DE7"/>
    <w:rsid w:val="6E895A0C"/>
    <w:rsid w:val="6ECE1B47"/>
    <w:rsid w:val="6ED80D63"/>
    <w:rsid w:val="6F5E6105"/>
    <w:rsid w:val="6F885CC3"/>
    <w:rsid w:val="71B42DA0"/>
    <w:rsid w:val="71CA4813"/>
    <w:rsid w:val="72572FBE"/>
    <w:rsid w:val="72D347D1"/>
    <w:rsid w:val="72EE3564"/>
    <w:rsid w:val="736F59C9"/>
    <w:rsid w:val="739E5AB6"/>
    <w:rsid w:val="73A7108A"/>
    <w:rsid w:val="73AF5BD1"/>
    <w:rsid w:val="74563309"/>
    <w:rsid w:val="745A156B"/>
    <w:rsid w:val="75060995"/>
    <w:rsid w:val="754B48A1"/>
    <w:rsid w:val="76D45740"/>
    <w:rsid w:val="771253DF"/>
    <w:rsid w:val="774479B9"/>
    <w:rsid w:val="77F96ED5"/>
    <w:rsid w:val="78517DB3"/>
    <w:rsid w:val="78EF4C2E"/>
    <w:rsid w:val="799117B9"/>
    <w:rsid w:val="7ACE54FE"/>
    <w:rsid w:val="7BB340C8"/>
    <w:rsid w:val="7BB6609B"/>
    <w:rsid w:val="7D3E5C13"/>
    <w:rsid w:val="7E08594C"/>
    <w:rsid w:val="7EE822DB"/>
    <w:rsid w:val="7F0168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jc w:val="both"/>
    </w:pPr>
    <w:rPr>
      <w:rFonts w:ascii="Times New Roman" w:hAnsi="Times New Roman" w:eastAsia="仿宋_GB2312" w:cs="宋体"/>
      <w:kern w:val="2"/>
      <w:sz w:val="32"/>
      <w:szCs w:val="32"/>
      <w:lang w:val="en-US" w:eastAsia="zh-CN" w:bidi="ar-SA"/>
    </w:rPr>
  </w:style>
  <w:style w:type="paragraph" w:styleId="3">
    <w:name w:val="heading 3"/>
    <w:basedOn w:val="1"/>
    <w:next w:val="1"/>
    <w:link w:val="19"/>
    <w:qFormat/>
    <w:uiPriority w:val="0"/>
    <w:pPr>
      <w:keepNext/>
      <w:keepLines/>
      <w:outlineLvl w:val="2"/>
    </w:pPr>
    <w:rPr>
      <w:rFonts w:ascii="楷体" w:eastAsia="楷体"/>
      <w:szCs w:val="2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jc w:val="center"/>
    </w:pPr>
    <w:rPr>
      <w:rFonts w:eastAsia="方正小标宋简体" w:cs="Times New Roman"/>
      <w:sz w:val="44"/>
    </w:rPr>
  </w:style>
  <w:style w:type="paragraph" w:styleId="4">
    <w:name w:val="Normal Indent"/>
    <w:basedOn w:val="1"/>
    <w:qFormat/>
    <w:uiPriority w:val="0"/>
    <w:pPr>
      <w:ind w:firstLine="420" w:firstLineChars="200"/>
    </w:pPr>
    <w:rPr>
      <w:rFonts w:ascii="Times New Roman" w:hAnsi="Times New Roman" w:eastAsia="宋体" w:cs="Times New Roman"/>
    </w:rPr>
  </w:style>
  <w:style w:type="paragraph" w:styleId="5">
    <w:name w:val="Body Text"/>
    <w:basedOn w:val="1"/>
    <w:next w:val="6"/>
    <w:qFormat/>
    <w:uiPriority w:val="0"/>
  </w:style>
  <w:style w:type="paragraph" w:styleId="6">
    <w:name w:val="toc 5"/>
    <w:basedOn w:val="1"/>
    <w:next w:val="1"/>
    <w:qFormat/>
    <w:uiPriority w:val="0"/>
    <w:pPr>
      <w:ind w:left="1680"/>
    </w:pPr>
  </w:style>
  <w:style w:type="paragraph" w:styleId="7">
    <w:name w:val="Body Text Indent"/>
    <w:basedOn w:val="1"/>
    <w:next w:val="8"/>
    <w:qFormat/>
    <w:uiPriority w:val="0"/>
    <w:pPr>
      <w:ind w:left="420" w:leftChars="200"/>
    </w:pPr>
    <w:rPr>
      <w:rFonts w:ascii="Times New Roman" w:hAnsi="Times New Roman" w:eastAsia="宋体" w:cs="Times New Roman"/>
    </w:rPr>
  </w:style>
  <w:style w:type="paragraph" w:styleId="8">
    <w:name w:val="Body Text First Indent 2"/>
    <w:basedOn w:val="7"/>
    <w:next w:val="9"/>
    <w:qFormat/>
    <w:uiPriority w:val="0"/>
    <w:pPr>
      <w:ind w:firstLine="420"/>
    </w:pPr>
    <w:rPr>
      <w:rFonts w:ascii="Times New Roman" w:hAnsi="Times New Roman" w:eastAsia="宋体" w:cs="Times New Roman"/>
    </w:rPr>
  </w:style>
  <w:style w:type="paragraph" w:styleId="9">
    <w:name w:val="Body Text First Indent"/>
    <w:basedOn w:val="5"/>
    <w:next w:val="4"/>
    <w:qFormat/>
    <w:uiPriority w:val="0"/>
    <w:pPr>
      <w:spacing w:after="0" w:afterLines="0"/>
      <w:ind w:firstLine="420"/>
    </w:pPr>
    <w:rPr>
      <w:rFonts w:ascii="Times New Roman" w:hAnsi="Times New Roman" w:eastAsia="宋体" w:cs="Times New Roman"/>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2"/>
    <w:basedOn w:val="1"/>
    <w:qFormat/>
    <w:uiPriority w:val="0"/>
    <w:pPr>
      <w:spacing w:after="120" w:afterLines="0" w:line="480" w:lineRule="auto"/>
    </w:pPr>
    <w:rPr>
      <w:rFonts w:ascii="Times New Roman" w:hAnsi="Times New Roman" w:eastAsia="宋体" w:cs="Times New Roman"/>
    </w:rPr>
  </w:style>
  <w:style w:type="character" w:customStyle="1" w:styleId="15">
    <w:name w:val="font51"/>
    <w:basedOn w:val="14"/>
    <w:qFormat/>
    <w:uiPriority w:val="0"/>
    <w:rPr>
      <w:rFonts w:hint="eastAsia" w:ascii="宋体" w:hAnsi="宋体" w:eastAsia="宋体" w:cs="宋体"/>
      <w:color w:val="000000"/>
      <w:sz w:val="24"/>
      <w:szCs w:val="24"/>
      <w:u w:val="none"/>
    </w:rPr>
  </w:style>
  <w:style w:type="character" w:customStyle="1" w:styleId="16">
    <w:name w:val="font21"/>
    <w:basedOn w:val="14"/>
    <w:qFormat/>
    <w:uiPriority w:val="0"/>
    <w:rPr>
      <w:rFonts w:hint="eastAsia" w:ascii="宋体" w:hAnsi="宋体" w:eastAsia="宋体" w:cs="宋体"/>
      <w:color w:val="000000"/>
      <w:sz w:val="24"/>
      <w:szCs w:val="24"/>
      <w:u w:val="none"/>
    </w:rPr>
  </w:style>
  <w:style w:type="character" w:customStyle="1" w:styleId="17">
    <w:name w:val="font11"/>
    <w:basedOn w:val="14"/>
    <w:qFormat/>
    <w:uiPriority w:val="0"/>
    <w:rPr>
      <w:rFonts w:hint="default" w:ascii="Wingdings" w:hAnsi="Wingdings" w:eastAsia="宋体" w:cs="Wingdings"/>
      <w:color w:val="000000"/>
      <w:sz w:val="24"/>
      <w:szCs w:val="24"/>
      <w:u w:val="none"/>
    </w:rPr>
  </w:style>
  <w:style w:type="character" w:customStyle="1" w:styleId="18">
    <w:name w:val="NormalCharacter"/>
    <w:link w:val="1"/>
    <w:qFormat/>
    <w:uiPriority w:val="0"/>
    <w:rPr>
      <w:rFonts w:ascii="Times New Roman" w:hAnsi="Times New Roman" w:eastAsia="仿宋_GB2312" w:cs="宋体"/>
      <w:kern w:val="2"/>
      <w:sz w:val="32"/>
      <w:szCs w:val="32"/>
      <w:lang w:val="en-US" w:eastAsia="zh-CN" w:bidi="ar-SA"/>
    </w:rPr>
  </w:style>
  <w:style w:type="character" w:customStyle="1" w:styleId="19">
    <w:name w:val="标题 3 Char"/>
    <w:basedOn w:val="14"/>
    <w:link w:val="3"/>
    <w:semiHidden/>
    <w:qFormat/>
    <w:uiPriority w:val="0"/>
    <w:rPr>
      <w:rFonts w:ascii="楷体" w:eastAsia="楷体"/>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2021-04-02T03:15:00Z</dcterms:created>
  <dc:creator>wjw020306</dc:creator>
  <cp:lastModifiedBy>Administrator</cp:lastModifiedBy>
  <cp:lastPrinted>2021-10-15T00:30:00Z</cp:lastPrinted>
  <dcterms:modified xsi:type="dcterms:W3CDTF">2021-11-12T08:24:30Z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2448C5FE67DE46FCB3C24EDBFEAABDFA</vt:lpwstr>
  </property>
</Properties>
</file>