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before="313" w:beforeLines="100"/>
        <w:jc w:val="center"/>
        <w:textAlignment w:val="auto"/>
        <w:rPr>
          <w:rFonts w:hint="eastAsia" w:ascii="方正大标宋简体" w:hAnsi="方正大标宋简体" w:eastAsia="方正大标宋简体" w:cs="方正大标宋简体"/>
          <w:color w:val="FF0000"/>
          <w:w w:val="70"/>
          <w:sz w:val="120"/>
          <w:szCs w:val="120"/>
          <w:lang w:eastAsia="zh-CN"/>
        </w:rPr>
      </w:pPr>
      <w:r>
        <w:rPr>
          <w:rFonts w:hint="eastAsia" w:ascii="方正大标宋简体" w:hAnsi="方正大标宋简体" w:eastAsia="方正大标宋简体" w:cs="方正大标宋简体"/>
          <w:color w:val="FF0000"/>
          <w:w w:val="70"/>
          <w:sz w:val="120"/>
        </w:rPr>
        <mc:AlternateContent>
          <mc:Choice Requires="wps">
            <w:drawing>
              <wp:anchor distT="0" distB="0" distL="114300" distR="114300" simplePos="0" relativeHeight="251659264" behindDoc="0" locked="0" layoutInCell="1" allowOverlap="1">
                <wp:simplePos x="0" y="0"/>
                <wp:positionH relativeFrom="column">
                  <wp:posOffset>-105410</wp:posOffset>
                </wp:positionH>
                <wp:positionV relativeFrom="paragraph">
                  <wp:posOffset>2080260</wp:posOffset>
                </wp:positionV>
                <wp:extent cx="5760085" cy="0"/>
                <wp:effectExtent l="0" t="13970" r="12065" b="24130"/>
                <wp:wrapNone/>
                <wp:docPr id="2" name="直接连接符 2"/>
                <wp:cNvGraphicFramePr/>
                <a:graphic xmlns:a="http://schemas.openxmlformats.org/drawingml/2006/main">
                  <a:graphicData uri="http://schemas.microsoft.com/office/word/2010/wordprocessingShape">
                    <wps:wsp>
                      <wps:cNvCnPr/>
                      <wps:spPr>
                        <a:xfrm>
                          <a:off x="1110615" y="3328035"/>
                          <a:ext cx="5760085" cy="0"/>
                        </a:xfrm>
                        <a:prstGeom prst="line">
                          <a:avLst/>
                        </a:prstGeom>
                        <a:noFill/>
                        <a:ln w="28575" cap="flat" cmpd="sng" algn="ctr">
                          <a:solidFill>
                            <a:srgbClr val="FF0000"/>
                          </a:solidFill>
                          <a:prstDash val="solid"/>
                        </a:ln>
                        <a:effectLst/>
                      </wps:spPr>
                      <wps:bodyPr/>
                    </wps:wsp>
                  </a:graphicData>
                </a:graphic>
              </wp:anchor>
            </w:drawing>
          </mc:Choice>
          <mc:Fallback>
            <w:pict>
              <v:line id="_x0000_s1026" o:spid="_x0000_s1026" o:spt="20" style="position:absolute;left:0pt;margin-left:-8.3pt;margin-top:163.8pt;height:0pt;width:453.55pt;z-index:251659264;mso-width-relative:page;mso-height-relative:page;" filled="f" stroked="t" coordsize="21600,21600" o:gfxdata="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At29ELYAAAACwEAAA8AAAAAAAAAAQAgAAAAIgAAAGRycy9kb3ducmV2LnhtbFBLAQIUABQAAAAI&#10;AIdO4kBay/ay7QEAALUDAAAOAAAAAAAAAAEAIAAAACcBAABkcnMvZTJvRG9jLnhtbFBLBQYAAAAA&#10;BgAGAFkBAACGBQAAAAA=&#10;">
                <v:fill on="f" focussize="0,0"/>
                <v:stroke weight="2.25pt" color="#FF0000" joinstyle="round"/>
                <v:imagedata o:title=""/>
                <o:lock v:ext="edit" aspectratio="f"/>
              </v:line>
            </w:pict>
          </mc:Fallback>
        </mc:AlternateContent>
      </w:r>
      <w:r>
        <w:rPr>
          <w:rFonts w:hint="eastAsia" w:ascii="方正大标宋简体" w:hAnsi="方正大标宋简体" w:eastAsia="方正大标宋简体" w:cs="方正大标宋简体"/>
          <w:color w:val="FF0000"/>
          <w:w w:val="70"/>
          <w:sz w:val="120"/>
          <w:lang w:eastAsia="zh-CN"/>
        </w:rPr>
        <w:t>高家堡乡</w:t>
      </w:r>
      <w:r>
        <w:rPr>
          <w:rFonts w:hint="eastAsia" w:ascii="方正大标宋简体" w:hAnsi="方正大标宋简体" w:eastAsia="方正大标宋简体" w:cs="方正大标宋简体"/>
          <w:color w:val="FF0000"/>
          <w:w w:val="70"/>
          <w:sz w:val="120"/>
          <w:szCs w:val="120"/>
          <w:lang w:eastAsia="zh-CN"/>
        </w:rPr>
        <w:t>人民政府文件</w:t>
      </w:r>
    </w:p>
    <w:p>
      <w:pPr>
        <w:keepNext w:val="0"/>
        <w:keepLines w:val="0"/>
        <w:pageBreakBefore w:val="0"/>
        <w:widowControl w:val="0"/>
        <w:kinsoku/>
        <w:wordWrap/>
        <w:overflowPunct/>
        <w:topLinePunct w:val="0"/>
        <w:autoSpaceDE/>
        <w:autoSpaceDN/>
        <w:bidi w:val="0"/>
        <w:adjustRightInd/>
        <w:snapToGrid/>
        <w:spacing w:before="313" w:beforeLines="100"/>
        <w:ind w:firstLine="0" w:firstLineChars="0"/>
        <w:jc w:val="center"/>
        <w:textAlignment w:val="auto"/>
        <w:rPr>
          <w:rFonts w:hint="default" w:ascii="仿宋" w:hAnsi="仿宋" w:eastAsia="仿宋" w:cs="仿宋"/>
          <w:sz w:val="32"/>
          <w:szCs w:val="32"/>
          <w:lang w:val="en-US" w:eastAsia="zh-CN"/>
        </w:rPr>
      </w:pPr>
      <w:r>
        <w:rPr>
          <w:rFonts w:hint="eastAsia" w:ascii="仿宋_GB2312" w:hAnsi="仿宋_GB2312" w:eastAsia="仿宋_GB2312" w:cs="仿宋_GB2312"/>
          <w:sz w:val="32"/>
          <w:szCs w:val="32"/>
          <w:lang w:eastAsia="zh-CN"/>
        </w:rPr>
        <w:t>高政发〔</w:t>
      </w:r>
      <w:r>
        <w:rPr>
          <w:rFonts w:hint="eastAsia" w:ascii="仿宋_GB2312" w:hAnsi="仿宋_GB2312" w:eastAsia="仿宋_GB2312" w:cs="仿宋_GB2312"/>
          <w:sz w:val="32"/>
          <w:szCs w:val="32"/>
          <w:lang w:val="en-US" w:eastAsia="zh-CN"/>
        </w:rPr>
        <w:t>2021</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15号</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firstLine="0" w:firstLineChars="0"/>
        <w:jc w:val="center"/>
        <w:textAlignment w:val="auto"/>
        <w:rPr>
          <w:rFonts w:hint="eastAsia" w:ascii="方正小标宋简体" w:hAnsi="方正小标宋简体" w:eastAsia="方正小标宋简体" w:cs="方正小标宋简体"/>
          <w:b w:val="0"/>
          <w:bCs w:val="0"/>
          <w:sz w:val="44"/>
          <w:szCs w:val="44"/>
          <w:lang w:eastAsia="zh-CN"/>
        </w:rPr>
      </w:pPr>
      <w:r>
        <w:rPr>
          <w:rFonts w:hint="eastAsia" w:ascii="方正小标宋简体" w:hAnsi="方正小标宋简体" w:eastAsia="方正小标宋简体" w:cs="方正小标宋简体"/>
          <w:b w:val="0"/>
          <w:bCs w:val="0"/>
          <w:sz w:val="44"/>
          <w:szCs w:val="44"/>
          <w:lang w:eastAsia="zh-CN"/>
        </w:rPr>
        <w:t>高家堡乡人民政府</w:t>
      </w:r>
    </w:p>
    <w:p>
      <w:pPr>
        <w:keepNext w:val="0"/>
        <w:keepLines w:val="0"/>
        <w:pageBreakBefore w:val="0"/>
        <w:widowControl w:val="0"/>
        <w:kinsoku/>
        <w:wordWrap/>
        <w:overflowPunct/>
        <w:topLinePunct w:val="0"/>
        <w:autoSpaceDE/>
        <w:autoSpaceDN/>
        <w:bidi w:val="0"/>
        <w:adjustRightInd/>
        <w:snapToGrid/>
        <w:spacing w:line="600" w:lineRule="exact"/>
        <w:ind w:firstLine="0" w:firstLineChars="0"/>
        <w:jc w:val="center"/>
        <w:textAlignment w:val="auto"/>
        <w:rPr>
          <w:rFonts w:hint="eastAsia" w:ascii="方正小标宋简体" w:hAnsi="方正小标宋简体" w:eastAsia="方正小标宋简体" w:cs="方正小标宋简体"/>
          <w:b w:val="0"/>
          <w:bCs w:val="0"/>
          <w:sz w:val="44"/>
          <w:szCs w:val="44"/>
          <w:lang w:eastAsia="zh-CN"/>
        </w:rPr>
      </w:pPr>
      <w:r>
        <w:rPr>
          <w:rFonts w:hint="eastAsia" w:ascii="方正小标宋简体" w:hAnsi="方正小标宋简体" w:eastAsia="方正小标宋简体" w:cs="方正小标宋简体"/>
          <w:b w:val="0"/>
          <w:bCs w:val="0"/>
          <w:sz w:val="44"/>
          <w:szCs w:val="44"/>
          <w:lang w:eastAsia="zh-CN"/>
        </w:rPr>
        <w:t>关于印发</w:t>
      </w:r>
      <w:r>
        <w:rPr>
          <w:rFonts w:hint="eastAsia" w:ascii="方正小标宋简体" w:hAnsi="方正小标宋简体" w:eastAsia="方正小标宋简体" w:cs="方正小标宋简体"/>
          <w:b w:val="0"/>
          <w:bCs w:val="0"/>
          <w:sz w:val="44"/>
          <w:szCs w:val="44"/>
        </w:rPr>
        <w:t>便民服务中心工作流程</w:t>
      </w:r>
      <w:r>
        <w:rPr>
          <w:rFonts w:hint="eastAsia" w:ascii="方正小标宋简体" w:hAnsi="方正小标宋简体" w:eastAsia="方正小标宋简体" w:cs="方正小标宋简体"/>
          <w:b w:val="0"/>
          <w:bCs w:val="0"/>
          <w:sz w:val="44"/>
          <w:szCs w:val="44"/>
          <w:lang w:eastAsia="zh-CN"/>
        </w:rPr>
        <w:t>及制度的</w:t>
      </w:r>
    </w:p>
    <w:p>
      <w:pPr>
        <w:keepNext w:val="0"/>
        <w:keepLines w:val="0"/>
        <w:pageBreakBefore w:val="0"/>
        <w:widowControl w:val="0"/>
        <w:kinsoku/>
        <w:wordWrap/>
        <w:overflowPunct/>
        <w:topLinePunct w:val="0"/>
        <w:autoSpaceDE/>
        <w:autoSpaceDN/>
        <w:bidi w:val="0"/>
        <w:adjustRightInd/>
        <w:snapToGrid/>
        <w:spacing w:line="600" w:lineRule="exact"/>
        <w:ind w:firstLine="0" w:firstLineChars="0"/>
        <w:jc w:val="center"/>
        <w:textAlignment w:val="auto"/>
        <w:rPr>
          <w:rFonts w:hint="eastAsia" w:ascii="方正小标宋简体" w:hAnsi="方正小标宋简体" w:eastAsia="方正小标宋简体" w:cs="方正小标宋简体"/>
          <w:b w:val="0"/>
          <w:bCs w:val="0"/>
          <w:sz w:val="44"/>
          <w:szCs w:val="44"/>
          <w:lang w:eastAsia="zh-CN"/>
        </w:rPr>
      </w:pPr>
      <w:r>
        <w:rPr>
          <w:rFonts w:hint="eastAsia" w:ascii="方正小标宋简体" w:hAnsi="方正小标宋简体" w:eastAsia="方正小标宋简体" w:cs="方正小标宋简体"/>
          <w:b w:val="0"/>
          <w:bCs w:val="0"/>
          <w:sz w:val="44"/>
          <w:szCs w:val="44"/>
          <w:lang w:eastAsia="zh-CN"/>
        </w:rPr>
        <w:t>通</w:t>
      </w:r>
      <w:r>
        <w:rPr>
          <w:rFonts w:hint="eastAsia" w:ascii="方正小标宋简体" w:hAnsi="方正小标宋简体" w:eastAsia="方正小标宋简体" w:cs="方正小标宋简体"/>
          <w:b w:val="0"/>
          <w:bCs w:val="0"/>
          <w:sz w:val="44"/>
          <w:szCs w:val="44"/>
          <w:lang w:val="en-US" w:eastAsia="zh-CN"/>
        </w:rPr>
        <w:t xml:space="preserve">  </w:t>
      </w:r>
      <w:r>
        <w:rPr>
          <w:rFonts w:hint="eastAsia" w:ascii="方正小标宋简体" w:hAnsi="方正小标宋简体" w:eastAsia="方正小标宋简体" w:cs="方正小标宋简体"/>
          <w:b w:val="0"/>
          <w:bCs w:val="0"/>
          <w:sz w:val="44"/>
          <w:szCs w:val="44"/>
          <w:lang w:eastAsia="zh-CN"/>
        </w:rPr>
        <w:t>知</w:t>
      </w:r>
    </w:p>
    <w:p>
      <w:pPr>
        <w:keepNext w:val="0"/>
        <w:keepLines w:val="0"/>
        <w:pageBreakBefore w:val="0"/>
        <w:widowControl w:val="0"/>
        <w:kinsoku/>
        <w:wordWrap/>
        <w:overflowPunct/>
        <w:topLinePunct w:val="0"/>
        <w:autoSpaceDE/>
        <w:autoSpaceDN/>
        <w:bidi w:val="0"/>
        <w:adjustRightInd/>
        <w:snapToGrid/>
        <w:spacing w:line="660" w:lineRule="exact"/>
        <w:ind w:firstLine="643" w:firstLineChars="200"/>
        <w:textAlignment w:val="auto"/>
        <w:rPr>
          <w:rFonts w:hint="eastAsia" w:ascii="仿宋_GB2312" w:hAnsi="仿宋_GB2312" w:eastAsia="仿宋_GB2312" w:cs="仿宋_GB2312"/>
          <w:b/>
          <w:bCs/>
          <w:sz w:val="32"/>
          <w:szCs w:val="32"/>
        </w:rPr>
      </w:pPr>
    </w:p>
    <w:p>
      <w:pPr>
        <w:keepNext w:val="0"/>
        <w:keepLines w:val="0"/>
        <w:pageBreakBefore w:val="0"/>
        <w:widowControl w:val="0"/>
        <w:kinsoku/>
        <w:wordWrap/>
        <w:overflowPunct/>
        <w:topLinePunct w:val="0"/>
        <w:autoSpaceDE/>
        <w:autoSpaceDN/>
        <w:bidi w:val="0"/>
        <w:adjustRightInd/>
        <w:snapToGrid/>
        <w:spacing w:line="660" w:lineRule="exact"/>
        <w:textAlignment w:val="auto"/>
        <w:rPr>
          <w:rFonts w:hint="default"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各村、各站所、各企业：</w:t>
      </w:r>
    </w:p>
    <w:p>
      <w:pPr>
        <w:keepNext w:val="0"/>
        <w:keepLines w:val="0"/>
        <w:pageBreakBefore w:val="0"/>
        <w:widowControl w:val="0"/>
        <w:kinsoku/>
        <w:wordWrap/>
        <w:overflowPunct/>
        <w:topLinePunct w:val="0"/>
        <w:autoSpaceDE/>
        <w:autoSpaceDN/>
        <w:bidi w:val="0"/>
        <w:adjustRightInd/>
        <w:snapToGrid/>
        <w:spacing w:line="660" w:lineRule="exact"/>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val="en-US" w:eastAsia="zh-CN"/>
        </w:rPr>
        <w:t>为了规范我乡民服务中心工作，</w:t>
      </w:r>
      <w:r>
        <w:rPr>
          <w:rFonts w:hint="eastAsia" w:ascii="仿宋_GB2312" w:hAnsi="仿宋_GB2312" w:eastAsia="仿宋_GB2312" w:cs="仿宋_GB2312"/>
          <w:b w:val="0"/>
          <w:bCs w:val="0"/>
          <w:i w:val="0"/>
          <w:iCs w:val="0"/>
          <w:caps w:val="0"/>
          <w:color w:val="343434"/>
          <w:spacing w:val="0"/>
          <w:sz w:val="32"/>
          <w:szCs w:val="32"/>
        </w:rPr>
        <w:t>提升全</w:t>
      </w:r>
      <w:r>
        <w:rPr>
          <w:rFonts w:hint="eastAsia" w:ascii="仿宋_GB2312" w:hAnsi="仿宋_GB2312" w:eastAsia="仿宋_GB2312" w:cs="仿宋_GB2312"/>
          <w:b w:val="0"/>
          <w:bCs w:val="0"/>
          <w:i w:val="0"/>
          <w:iCs w:val="0"/>
          <w:caps w:val="0"/>
          <w:color w:val="343434"/>
          <w:spacing w:val="0"/>
          <w:sz w:val="32"/>
          <w:szCs w:val="32"/>
          <w:lang w:eastAsia="zh-CN"/>
        </w:rPr>
        <w:t>乡</w:t>
      </w:r>
      <w:r>
        <w:rPr>
          <w:rFonts w:hint="eastAsia" w:ascii="仿宋_GB2312" w:hAnsi="仿宋_GB2312" w:eastAsia="仿宋_GB2312" w:cs="仿宋_GB2312"/>
          <w:b w:val="0"/>
          <w:bCs w:val="0"/>
          <w:i w:val="0"/>
          <w:iCs w:val="0"/>
          <w:caps w:val="0"/>
          <w:color w:val="343434"/>
          <w:spacing w:val="0"/>
          <w:sz w:val="32"/>
          <w:szCs w:val="32"/>
        </w:rPr>
        <w:t>政务服务水平，打造更为综合、更加高效的政务服务平台，为辖区群众提供更加全面、便捷的政务服务，结合我</w:t>
      </w:r>
      <w:r>
        <w:rPr>
          <w:rFonts w:hint="eastAsia" w:ascii="仿宋_GB2312" w:hAnsi="仿宋_GB2312" w:eastAsia="仿宋_GB2312" w:cs="仿宋_GB2312"/>
          <w:b w:val="0"/>
          <w:bCs w:val="0"/>
          <w:i w:val="0"/>
          <w:iCs w:val="0"/>
          <w:caps w:val="0"/>
          <w:color w:val="343434"/>
          <w:spacing w:val="0"/>
          <w:sz w:val="32"/>
          <w:szCs w:val="32"/>
          <w:lang w:eastAsia="zh-CN"/>
        </w:rPr>
        <w:t>乡</w:t>
      </w:r>
      <w:r>
        <w:rPr>
          <w:rFonts w:hint="eastAsia" w:ascii="仿宋_GB2312" w:hAnsi="仿宋_GB2312" w:eastAsia="仿宋_GB2312" w:cs="仿宋_GB2312"/>
          <w:b w:val="0"/>
          <w:bCs w:val="0"/>
          <w:i w:val="0"/>
          <w:iCs w:val="0"/>
          <w:caps w:val="0"/>
          <w:color w:val="343434"/>
          <w:spacing w:val="0"/>
          <w:sz w:val="32"/>
          <w:szCs w:val="32"/>
        </w:rPr>
        <w:t>实际，制定如下</w:t>
      </w:r>
      <w:r>
        <w:rPr>
          <w:rFonts w:hint="eastAsia" w:ascii="仿宋_GB2312" w:hAnsi="仿宋_GB2312" w:eastAsia="仿宋_GB2312" w:cs="仿宋_GB2312"/>
          <w:b w:val="0"/>
          <w:bCs w:val="0"/>
          <w:i w:val="0"/>
          <w:iCs w:val="0"/>
          <w:caps w:val="0"/>
          <w:color w:val="343434"/>
          <w:spacing w:val="0"/>
          <w:sz w:val="32"/>
          <w:szCs w:val="32"/>
          <w:lang w:eastAsia="zh-CN"/>
        </w:rPr>
        <w:t>工作制度，现印发给你们。</w:t>
      </w:r>
    </w:p>
    <w:p>
      <w:pPr>
        <w:keepNext w:val="0"/>
        <w:keepLines w:val="0"/>
        <w:pageBreakBefore w:val="0"/>
        <w:widowControl w:val="0"/>
        <w:kinsoku/>
        <w:wordWrap/>
        <w:overflowPunct/>
        <w:topLinePunct w:val="0"/>
        <w:autoSpaceDE/>
        <w:autoSpaceDN/>
        <w:bidi w:val="0"/>
        <w:adjustRightInd/>
        <w:snapToGrid/>
        <w:spacing w:line="660" w:lineRule="exact"/>
        <w:ind w:firstLine="640" w:firstLineChars="200"/>
        <w:textAlignment w:val="auto"/>
        <w:rPr>
          <w:rFonts w:hint="eastAsia" w:ascii="黑体" w:hAnsi="黑体" w:eastAsia="黑体" w:cs="黑体"/>
          <w:b w:val="0"/>
          <w:bCs w:val="0"/>
          <w:sz w:val="32"/>
          <w:szCs w:val="32"/>
        </w:rPr>
      </w:pPr>
    </w:p>
    <w:p>
      <w:pPr>
        <w:keepNext w:val="0"/>
        <w:keepLines w:val="0"/>
        <w:pageBreakBefore w:val="0"/>
        <w:widowControl w:val="0"/>
        <w:kinsoku/>
        <w:wordWrap/>
        <w:overflowPunct/>
        <w:topLinePunct w:val="0"/>
        <w:autoSpaceDE/>
        <w:autoSpaceDN/>
        <w:bidi w:val="0"/>
        <w:adjustRightInd/>
        <w:snapToGrid/>
        <w:spacing w:line="660" w:lineRule="exact"/>
        <w:ind w:firstLine="640" w:firstLineChars="200"/>
        <w:textAlignment w:val="auto"/>
        <w:rPr>
          <w:rFonts w:hint="eastAsia" w:ascii="黑体" w:hAnsi="黑体" w:eastAsia="黑体" w:cs="黑体"/>
          <w:b w:val="0"/>
          <w:bCs w:val="0"/>
          <w:sz w:val="32"/>
          <w:szCs w:val="32"/>
        </w:rPr>
      </w:pPr>
    </w:p>
    <w:p>
      <w:pPr>
        <w:keepNext w:val="0"/>
        <w:keepLines w:val="0"/>
        <w:pageBreakBefore w:val="0"/>
        <w:widowControl w:val="0"/>
        <w:kinsoku/>
        <w:wordWrap/>
        <w:overflowPunct/>
        <w:topLinePunct w:val="0"/>
        <w:autoSpaceDE/>
        <w:autoSpaceDN/>
        <w:bidi w:val="0"/>
        <w:adjustRightInd/>
        <w:snapToGrid/>
        <w:spacing w:line="660" w:lineRule="exact"/>
        <w:ind w:firstLine="4800" w:firstLineChars="1500"/>
        <w:textAlignment w:val="auto"/>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lang w:eastAsia="zh-CN"/>
        </w:rPr>
        <w:t>高家堡乡人民政府</w:t>
      </w:r>
    </w:p>
    <w:p>
      <w:pPr>
        <w:keepNext w:val="0"/>
        <w:keepLines w:val="0"/>
        <w:pageBreakBefore w:val="0"/>
        <w:widowControl w:val="0"/>
        <w:kinsoku/>
        <w:wordWrap/>
        <w:overflowPunct/>
        <w:topLinePunct w:val="0"/>
        <w:autoSpaceDE/>
        <w:autoSpaceDN/>
        <w:bidi w:val="0"/>
        <w:adjustRightInd/>
        <w:snapToGrid/>
        <w:spacing w:line="660" w:lineRule="exact"/>
        <w:ind w:firstLine="5440" w:firstLineChars="17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2021年3月10日</w:t>
      </w:r>
    </w:p>
    <w:p>
      <w:pPr>
        <w:keepNext w:val="0"/>
        <w:keepLines w:val="0"/>
        <w:pageBreakBefore w:val="0"/>
        <w:widowControl w:val="0"/>
        <w:kinsoku/>
        <w:wordWrap/>
        <w:overflowPunct/>
        <w:topLinePunct w:val="0"/>
        <w:autoSpaceDE/>
        <w:autoSpaceDN/>
        <w:bidi w:val="0"/>
        <w:adjustRightInd/>
        <w:snapToGrid/>
        <w:spacing w:line="660" w:lineRule="exact"/>
        <w:ind w:firstLine="640" w:firstLineChars="200"/>
        <w:textAlignment w:val="auto"/>
        <w:rPr>
          <w:rFonts w:hint="eastAsia" w:ascii="黑体" w:hAnsi="黑体" w:eastAsia="黑体" w:cs="黑体"/>
          <w:b w:val="0"/>
          <w:bCs w:val="0"/>
          <w:sz w:val="32"/>
          <w:szCs w:val="32"/>
        </w:rPr>
      </w:pPr>
    </w:p>
    <w:p>
      <w:pPr>
        <w:keepNext w:val="0"/>
        <w:keepLines w:val="0"/>
        <w:pageBreakBefore w:val="0"/>
        <w:widowControl w:val="0"/>
        <w:kinsoku/>
        <w:wordWrap/>
        <w:overflowPunct/>
        <w:topLinePunct w:val="0"/>
        <w:autoSpaceDE/>
        <w:autoSpaceDN/>
        <w:bidi w:val="0"/>
        <w:adjustRightInd/>
        <w:snapToGrid/>
        <w:spacing w:line="660" w:lineRule="exact"/>
        <w:jc w:val="center"/>
        <w:textAlignment w:val="auto"/>
        <w:rPr>
          <w:rFonts w:hint="eastAsia" w:ascii="方正小标宋简体" w:hAnsi="方正小标宋简体" w:eastAsia="方正小标宋简体" w:cs="方正小标宋简体"/>
          <w:b w:val="0"/>
          <w:bCs w:val="0"/>
          <w:sz w:val="44"/>
          <w:szCs w:val="44"/>
          <w:lang w:eastAsia="zh-CN"/>
        </w:rPr>
      </w:pPr>
      <w:r>
        <w:rPr>
          <w:rFonts w:hint="eastAsia" w:ascii="方正小标宋简体" w:hAnsi="方正小标宋简体" w:eastAsia="方正小标宋简体" w:cs="方正小标宋简体"/>
          <w:b w:val="0"/>
          <w:bCs w:val="0"/>
          <w:sz w:val="44"/>
          <w:szCs w:val="44"/>
          <w:lang w:eastAsia="zh-CN"/>
        </w:rPr>
        <w:t>高家堡乡便民服务中心工作流程</w:t>
      </w:r>
    </w:p>
    <w:p>
      <w:pPr>
        <w:keepNext w:val="0"/>
        <w:keepLines w:val="0"/>
        <w:pageBreakBefore w:val="0"/>
        <w:widowControl w:val="0"/>
        <w:kinsoku/>
        <w:wordWrap/>
        <w:overflowPunct/>
        <w:topLinePunct w:val="0"/>
        <w:autoSpaceDE/>
        <w:autoSpaceDN/>
        <w:bidi w:val="0"/>
        <w:adjustRightInd/>
        <w:snapToGrid/>
        <w:spacing w:line="660" w:lineRule="exact"/>
        <w:textAlignment w:val="auto"/>
        <w:rPr>
          <w:rFonts w:hint="eastAsia" w:ascii="黑体" w:hAnsi="黑体" w:eastAsia="黑体" w:cs="黑体"/>
          <w:b w:val="0"/>
          <w:bCs w:val="0"/>
          <w:sz w:val="32"/>
          <w:szCs w:val="32"/>
        </w:rPr>
      </w:pPr>
    </w:p>
    <w:p>
      <w:pPr>
        <w:keepNext w:val="0"/>
        <w:keepLines w:val="0"/>
        <w:pageBreakBefore w:val="0"/>
        <w:widowControl w:val="0"/>
        <w:kinsoku/>
        <w:wordWrap/>
        <w:overflowPunct/>
        <w:topLinePunct w:val="0"/>
        <w:autoSpaceDE/>
        <w:autoSpaceDN/>
        <w:bidi w:val="0"/>
        <w:adjustRightInd/>
        <w:snapToGrid/>
        <w:spacing w:line="660" w:lineRule="exact"/>
        <w:ind w:firstLine="640" w:firstLineChars="200"/>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一、告知</w:t>
      </w:r>
    </w:p>
    <w:p>
      <w:pPr>
        <w:keepNext w:val="0"/>
        <w:keepLines w:val="0"/>
        <w:pageBreakBefore w:val="0"/>
        <w:widowControl w:val="0"/>
        <w:kinsoku/>
        <w:wordWrap/>
        <w:overflowPunct/>
        <w:topLinePunct w:val="0"/>
        <w:autoSpaceDE/>
        <w:autoSpaceDN/>
        <w:bidi w:val="0"/>
        <w:adjustRightInd/>
        <w:snapToGrid/>
        <w:spacing w:line="6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1、服务部门按照中心规定的统一格式印制《服务指南》， 并摆放在窗口的显要位置，供申办人查询。</w:t>
      </w:r>
    </w:p>
    <w:p>
      <w:pPr>
        <w:keepNext w:val="0"/>
        <w:keepLines w:val="0"/>
        <w:pageBreakBefore w:val="0"/>
        <w:widowControl w:val="0"/>
        <w:kinsoku/>
        <w:wordWrap/>
        <w:overflowPunct/>
        <w:topLinePunct w:val="0"/>
        <w:autoSpaceDE/>
        <w:autoSpaceDN/>
        <w:bidi w:val="0"/>
        <w:adjustRightInd/>
        <w:snapToGrid/>
        <w:spacing w:line="6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2、《服务指南》的告知内容包括：</w:t>
      </w:r>
    </w:p>
    <w:p>
      <w:pPr>
        <w:keepNext w:val="0"/>
        <w:keepLines w:val="0"/>
        <w:pageBreakBefore w:val="0"/>
        <w:widowControl w:val="0"/>
        <w:kinsoku/>
        <w:wordWrap/>
        <w:overflowPunct/>
        <w:topLinePunct w:val="0"/>
        <w:autoSpaceDE/>
        <w:autoSpaceDN/>
        <w:bidi w:val="0"/>
        <w:adjustRightInd/>
        <w:snapToGrid/>
        <w:spacing w:line="6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申办事项名称、申办程序、提交材料、办理时限、收费标准及依据、联系电话。</w:t>
      </w:r>
      <w:bookmarkStart w:id="0" w:name="_GoBack"/>
      <w:bookmarkEnd w:id="0"/>
    </w:p>
    <w:p>
      <w:pPr>
        <w:keepNext w:val="0"/>
        <w:keepLines w:val="0"/>
        <w:pageBreakBefore w:val="0"/>
        <w:widowControl w:val="0"/>
        <w:kinsoku/>
        <w:wordWrap/>
        <w:overflowPunct/>
        <w:topLinePunct w:val="0"/>
        <w:autoSpaceDE/>
        <w:autoSpaceDN/>
        <w:bidi w:val="0"/>
        <w:adjustRightInd/>
        <w:snapToGrid/>
        <w:spacing w:line="6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3、申办人要求对申办事项的有关内容等予以解释的，工作人员应当耐心解释，不得拒绝。</w:t>
      </w:r>
    </w:p>
    <w:p>
      <w:pPr>
        <w:keepNext w:val="0"/>
        <w:keepLines w:val="0"/>
        <w:pageBreakBefore w:val="0"/>
        <w:widowControl w:val="0"/>
        <w:kinsoku/>
        <w:wordWrap/>
        <w:overflowPunct/>
        <w:topLinePunct w:val="0"/>
        <w:autoSpaceDE/>
        <w:autoSpaceDN/>
        <w:bidi w:val="0"/>
        <w:adjustRightInd/>
        <w:snapToGrid/>
        <w:spacing w:line="660" w:lineRule="exact"/>
        <w:ind w:firstLine="640" w:firstLineChars="200"/>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二、办理</w:t>
      </w:r>
    </w:p>
    <w:p>
      <w:pPr>
        <w:keepNext w:val="0"/>
        <w:keepLines w:val="0"/>
        <w:pageBreakBefore w:val="0"/>
        <w:widowControl w:val="0"/>
        <w:kinsoku/>
        <w:wordWrap/>
        <w:overflowPunct/>
        <w:topLinePunct w:val="0"/>
        <w:autoSpaceDE/>
        <w:autoSpaceDN/>
        <w:bidi w:val="0"/>
        <w:adjustRightInd/>
        <w:snapToGrid/>
        <w:spacing w:line="6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对纳入的办理事项，根据不同情况，按即办件、承诺件、上报件、联办件、补办件、退回件管理。</w:t>
      </w:r>
    </w:p>
    <w:p>
      <w:pPr>
        <w:keepNext w:val="0"/>
        <w:keepLines w:val="0"/>
        <w:pageBreakBefore w:val="0"/>
        <w:widowControl w:val="0"/>
        <w:kinsoku/>
        <w:wordWrap/>
        <w:overflowPunct/>
        <w:topLinePunct w:val="0"/>
        <w:autoSpaceDE/>
        <w:autoSpaceDN/>
        <w:bidi w:val="0"/>
        <w:adjustRightInd/>
        <w:snapToGrid/>
        <w:spacing w:line="6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便民服务中心负责所有事项的限时办结，行政办公室负责行政（许可）审批事项的审批限时办结。</w:t>
      </w:r>
    </w:p>
    <w:p>
      <w:pPr>
        <w:keepNext w:val="0"/>
        <w:keepLines w:val="0"/>
        <w:pageBreakBefore w:val="0"/>
        <w:widowControl w:val="0"/>
        <w:kinsoku/>
        <w:wordWrap/>
        <w:overflowPunct/>
        <w:topLinePunct w:val="0"/>
        <w:autoSpaceDE/>
        <w:autoSpaceDN/>
        <w:bidi w:val="0"/>
        <w:adjustRightInd/>
        <w:snapToGrid/>
        <w:spacing w:line="6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1、程序简便、资料齐全、符合规定，可当场或当天办结的一般性事项，均属即办件，实行即收即办，基本程序为：</w:t>
      </w:r>
    </w:p>
    <w:p>
      <w:pPr>
        <w:keepNext w:val="0"/>
        <w:keepLines w:val="0"/>
        <w:pageBreakBefore w:val="0"/>
        <w:widowControl w:val="0"/>
        <w:kinsoku/>
        <w:wordWrap/>
        <w:overflowPunct/>
        <w:topLinePunct w:val="0"/>
        <w:autoSpaceDE/>
        <w:autoSpaceDN/>
        <w:bidi w:val="0"/>
        <w:adjustRightInd/>
        <w:snapToGrid/>
        <w:spacing w:line="6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申办人按规定提交材料及相关资料；</w:t>
      </w:r>
    </w:p>
    <w:p>
      <w:pPr>
        <w:keepNext w:val="0"/>
        <w:keepLines w:val="0"/>
        <w:pageBreakBefore w:val="0"/>
        <w:widowControl w:val="0"/>
        <w:kinsoku/>
        <w:wordWrap/>
        <w:overflowPunct/>
        <w:topLinePunct w:val="0"/>
        <w:autoSpaceDE/>
        <w:autoSpaceDN/>
        <w:bidi w:val="0"/>
        <w:adjustRightInd/>
        <w:snapToGrid/>
        <w:spacing w:line="6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工作人员受理并对提交材料进行审查；</w:t>
      </w:r>
    </w:p>
    <w:p>
      <w:pPr>
        <w:keepNext w:val="0"/>
        <w:keepLines w:val="0"/>
        <w:pageBreakBefore w:val="0"/>
        <w:widowControl w:val="0"/>
        <w:kinsoku/>
        <w:wordWrap/>
        <w:overflowPunct/>
        <w:topLinePunct w:val="0"/>
        <w:autoSpaceDE/>
        <w:autoSpaceDN/>
        <w:bidi w:val="0"/>
        <w:adjustRightInd/>
        <w:snapToGrid/>
        <w:spacing w:line="6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工作人员根据审查情况当即予以办理。</w:t>
      </w:r>
    </w:p>
    <w:p>
      <w:pPr>
        <w:keepNext w:val="0"/>
        <w:keepLines w:val="0"/>
        <w:pageBreakBefore w:val="0"/>
        <w:widowControl w:val="0"/>
        <w:kinsoku/>
        <w:wordWrap/>
        <w:overflowPunct/>
        <w:topLinePunct w:val="0"/>
        <w:autoSpaceDE/>
        <w:autoSpaceDN/>
        <w:bidi w:val="0"/>
        <w:adjustRightInd/>
        <w:snapToGrid/>
        <w:spacing w:line="6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2、一个部门负责办理，但程序较为复杂、不能即时办结，需要现场勘察或当天不能办结的申办事项，均属承诺件，实行限时承诺办理。基本程序为：</w:t>
      </w:r>
    </w:p>
    <w:p>
      <w:pPr>
        <w:keepNext w:val="0"/>
        <w:keepLines w:val="0"/>
        <w:pageBreakBefore w:val="0"/>
        <w:widowControl w:val="0"/>
        <w:kinsoku/>
        <w:wordWrap/>
        <w:overflowPunct/>
        <w:topLinePunct w:val="0"/>
        <w:autoSpaceDE/>
        <w:autoSpaceDN/>
        <w:bidi w:val="0"/>
        <w:adjustRightInd/>
        <w:snapToGrid/>
        <w:spacing w:line="6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申办人按规定提交材料及相关资料；</w:t>
      </w:r>
    </w:p>
    <w:p>
      <w:pPr>
        <w:keepNext w:val="0"/>
        <w:keepLines w:val="0"/>
        <w:pageBreakBefore w:val="0"/>
        <w:widowControl w:val="0"/>
        <w:kinsoku/>
        <w:wordWrap/>
        <w:overflowPunct/>
        <w:topLinePunct w:val="0"/>
        <w:autoSpaceDE/>
        <w:autoSpaceDN/>
        <w:bidi w:val="0"/>
        <w:adjustRightInd/>
        <w:snapToGrid/>
        <w:spacing w:line="6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工作人员受理后，交申办人；</w:t>
      </w:r>
    </w:p>
    <w:p>
      <w:pPr>
        <w:keepNext w:val="0"/>
        <w:keepLines w:val="0"/>
        <w:pageBreakBefore w:val="0"/>
        <w:widowControl w:val="0"/>
        <w:kinsoku/>
        <w:wordWrap/>
        <w:overflowPunct/>
        <w:topLinePunct w:val="0"/>
        <w:autoSpaceDE/>
        <w:autoSpaceDN/>
        <w:bidi w:val="0"/>
        <w:adjustRightInd/>
        <w:snapToGrid/>
        <w:spacing w:line="6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在承诺时限内组织审核或勘察，根据审核或勘察情况，进行办理。</w:t>
      </w:r>
    </w:p>
    <w:p>
      <w:pPr>
        <w:keepNext w:val="0"/>
        <w:keepLines w:val="0"/>
        <w:pageBreakBefore w:val="0"/>
        <w:widowControl w:val="0"/>
        <w:kinsoku/>
        <w:wordWrap/>
        <w:overflowPunct/>
        <w:topLinePunct w:val="0"/>
        <w:autoSpaceDE/>
        <w:autoSpaceDN/>
        <w:bidi w:val="0"/>
        <w:adjustRightInd/>
        <w:snapToGrid/>
        <w:spacing w:line="6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3、须经上级主管部门审批的申办事项，属上报件。基本程序为：</w:t>
      </w:r>
    </w:p>
    <w:p>
      <w:pPr>
        <w:keepNext w:val="0"/>
        <w:keepLines w:val="0"/>
        <w:pageBreakBefore w:val="0"/>
        <w:widowControl w:val="0"/>
        <w:kinsoku/>
        <w:wordWrap/>
        <w:overflowPunct/>
        <w:topLinePunct w:val="0"/>
        <w:autoSpaceDE/>
        <w:autoSpaceDN/>
        <w:bidi w:val="0"/>
        <w:adjustRightInd/>
        <w:snapToGrid/>
        <w:spacing w:line="6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申办人按规定提交申请材料及相关资料；</w:t>
      </w:r>
    </w:p>
    <w:p>
      <w:pPr>
        <w:keepNext w:val="0"/>
        <w:keepLines w:val="0"/>
        <w:pageBreakBefore w:val="0"/>
        <w:widowControl w:val="0"/>
        <w:kinsoku/>
        <w:wordWrap/>
        <w:overflowPunct/>
        <w:topLinePunct w:val="0"/>
        <w:autoSpaceDE/>
        <w:autoSpaceDN/>
        <w:bidi w:val="0"/>
        <w:adjustRightInd/>
        <w:snapToGrid/>
        <w:spacing w:line="6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工作人员受理后，对申办材料进行初审；</w:t>
      </w:r>
    </w:p>
    <w:p>
      <w:pPr>
        <w:keepNext w:val="0"/>
        <w:keepLines w:val="0"/>
        <w:pageBreakBefore w:val="0"/>
        <w:widowControl w:val="0"/>
        <w:kinsoku/>
        <w:wordWrap/>
        <w:overflowPunct/>
        <w:topLinePunct w:val="0"/>
        <w:autoSpaceDE/>
        <w:autoSpaceDN/>
        <w:bidi w:val="0"/>
        <w:adjustRightInd/>
        <w:snapToGrid/>
        <w:spacing w:line="6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在承诺时限上报党政综合办公室，并积极与主要领导或上级主管部门联系，主要领导或上级部门批准后，及时通知申办人来取件。</w:t>
      </w:r>
    </w:p>
    <w:p>
      <w:pPr>
        <w:keepNext w:val="0"/>
        <w:keepLines w:val="0"/>
        <w:pageBreakBefore w:val="0"/>
        <w:widowControl w:val="0"/>
        <w:kinsoku/>
        <w:wordWrap/>
        <w:overflowPunct/>
        <w:topLinePunct w:val="0"/>
        <w:autoSpaceDE/>
        <w:autoSpaceDN/>
        <w:bidi w:val="0"/>
        <w:adjustRightInd/>
        <w:snapToGrid/>
        <w:spacing w:line="6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4、涉及两个以上主管部门的申办事项，须由“中心”协调相关业务部门予以联合办理的事项为联办件，按照“一门受理、抄告相关、同步办理、限时办结”的要求实施并联办理，基本程序为：</w:t>
      </w:r>
    </w:p>
    <w:p>
      <w:pPr>
        <w:keepNext w:val="0"/>
        <w:keepLines w:val="0"/>
        <w:pageBreakBefore w:val="0"/>
        <w:widowControl w:val="0"/>
        <w:kinsoku/>
        <w:wordWrap/>
        <w:overflowPunct/>
        <w:topLinePunct w:val="0"/>
        <w:autoSpaceDE/>
        <w:autoSpaceDN/>
        <w:bidi w:val="0"/>
        <w:adjustRightInd/>
        <w:snapToGrid/>
        <w:spacing w:line="6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申办人按规定提交材料及相关资料。</w:t>
      </w:r>
    </w:p>
    <w:p>
      <w:pPr>
        <w:keepNext w:val="0"/>
        <w:keepLines w:val="0"/>
        <w:pageBreakBefore w:val="0"/>
        <w:widowControl w:val="0"/>
        <w:kinsoku/>
        <w:wordWrap/>
        <w:overflowPunct/>
        <w:topLinePunct w:val="0"/>
        <w:autoSpaceDE/>
        <w:autoSpaceDN/>
        <w:bidi w:val="0"/>
        <w:adjustRightInd/>
        <w:snapToGrid/>
        <w:spacing w:line="6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工作人员受理后，若认为属于联办件范围，即予以受理并登记。</w:t>
      </w:r>
    </w:p>
    <w:p>
      <w:pPr>
        <w:keepNext w:val="0"/>
        <w:keepLines w:val="0"/>
        <w:pageBreakBefore w:val="0"/>
        <w:widowControl w:val="0"/>
        <w:kinsoku/>
        <w:wordWrap/>
        <w:overflowPunct/>
        <w:topLinePunct w:val="0"/>
        <w:autoSpaceDE/>
        <w:autoSpaceDN/>
        <w:bidi w:val="0"/>
        <w:adjustRightInd/>
        <w:snapToGrid/>
        <w:spacing w:line="6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工作人员提出初步办理意见，确定牵头部门及参加联办的部门，上报“便民服务中心”分管领导，批准后再组织办理。</w:t>
      </w:r>
    </w:p>
    <w:p>
      <w:pPr>
        <w:keepNext w:val="0"/>
        <w:keepLines w:val="0"/>
        <w:pageBreakBefore w:val="0"/>
        <w:widowControl w:val="0"/>
        <w:kinsoku/>
        <w:wordWrap/>
        <w:overflowPunct/>
        <w:topLinePunct w:val="0"/>
        <w:autoSpaceDE/>
        <w:autoSpaceDN/>
        <w:bidi w:val="0"/>
        <w:adjustRightInd/>
        <w:snapToGrid/>
        <w:spacing w:line="6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联办部门要同步办理，按时办结，并按照承诺时限随时反馈办理情况，办结后报“中心”备案。</w:t>
      </w:r>
    </w:p>
    <w:p>
      <w:pPr>
        <w:keepNext w:val="0"/>
        <w:keepLines w:val="0"/>
        <w:pageBreakBefore w:val="0"/>
        <w:widowControl w:val="0"/>
        <w:kinsoku/>
        <w:wordWrap/>
        <w:overflowPunct/>
        <w:topLinePunct w:val="0"/>
        <w:autoSpaceDE/>
        <w:autoSpaceDN/>
        <w:bidi w:val="0"/>
        <w:adjustRightInd/>
        <w:snapToGrid/>
        <w:spacing w:line="6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一个项目建立一个档案，按照一定比例回访服务对象，加大督查力度。</w:t>
      </w:r>
    </w:p>
    <w:p>
      <w:pPr>
        <w:keepNext w:val="0"/>
        <w:keepLines w:val="0"/>
        <w:pageBreakBefore w:val="0"/>
        <w:widowControl w:val="0"/>
        <w:kinsoku/>
        <w:wordWrap/>
        <w:overflowPunct/>
        <w:topLinePunct w:val="0"/>
        <w:autoSpaceDE/>
        <w:autoSpaceDN/>
        <w:bidi w:val="0"/>
        <w:adjustRightInd/>
        <w:snapToGrid/>
        <w:spacing w:line="6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5、不符合国家、省、市有关政策及我</w:t>
      </w:r>
      <w:r>
        <w:rPr>
          <w:rFonts w:hint="eastAsia" w:ascii="仿宋_GB2312" w:hAnsi="仿宋_GB2312" w:eastAsia="仿宋_GB2312" w:cs="仿宋_GB2312"/>
          <w:sz w:val="32"/>
          <w:szCs w:val="32"/>
          <w:lang w:eastAsia="zh-CN"/>
        </w:rPr>
        <w:t>县</w:t>
      </w:r>
      <w:r>
        <w:rPr>
          <w:rFonts w:hint="eastAsia" w:ascii="仿宋_GB2312" w:hAnsi="仿宋_GB2312" w:eastAsia="仿宋_GB2312" w:cs="仿宋_GB2312"/>
          <w:sz w:val="32"/>
          <w:szCs w:val="32"/>
        </w:rPr>
        <w:t>发展规划的申办事项，均属退回件。基本程序为：</w:t>
      </w:r>
    </w:p>
    <w:p>
      <w:pPr>
        <w:keepNext w:val="0"/>
        <w:keepLines w:val="0"/>
        <w:pageBreakBefore w:val="0"/>
        <w:widowControl w:val="0"/>
        <w:kinsoku/>
        <w:wordWrap/>
        <w:overflowPunct/>
        <w:topLinePunct w:val="0"/>
        <w:autoSpaceDE/>
        <w:autoSpaceDN/>
        <w:bidi w:val="0"/>
        <w:adjustRightInd/>
        <w:snapToGrid/>
        <w:spacing w:line="6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申办人按规定提交材料及相关资料；</w:t>
      </w:r>
    </w:p>
    <w:p>
      <w:pPr>
        <w:keepNext w:val="0"/>
        <w:keepLines w:val="0"/>
        <w:pageBreakBefore w:val="0"/>
        <w:widowControl w:val="0"/>
        <w:kinsoku/>
        <w:wordWrap/>
        <w:overflowPunct/>
        <w:topLinePunct w:val="0"/>
        <w:autoSpaceDE/>
        <w:autoSpaceDN/>
        <w:bidi w:val="0"/>
        <w:adjustRightInd/>
        <w:snapToGrid/>
        <w:spacing w:line="6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工作人员能够当场或当天认定为退回件的，应当场或当天认定；如果项目内容较为复杂，无法当场或当天认定的，可会同有关人员审议，但审议时间最长不得超过两天。</w:t>
      </w:r>
    </w:p>
    <w:p>
      <w:pPr>
        <w:keepNext w:val="0"/>
        <w:keepLines w:val="0"/>
        <w:pageBreakBefore w:val="0"/>
        <w:widowControl w:val="0"/>
        <w:kinsoku/>
        <w:wordWrap/>
        <w:overflowPunct/>
        <w:topLinePunct w:val="0"/>
        <w:autoSpaceDE/>
        <w:autoSpaceDN/>
        <w:bidi w:val="0"/>
        <w:adjustRightInd/>
        <w:snapToGrid/>
        <w:spacing w:line="6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工作人员要对退回件进行登记。</w:t>
      </w:r>
    </w:p>
    <w:p>
      <w:pPr>
        <w:keepNext w:val="0"/>
        <w:keepLines w:val="0"/>
        <w:pageBreakBefore w:val="0"/>
        <w:widowControl w:val="0"/>
        <w:kinsoku/>
        <w:wordWrap/>
        <w:overflowPunct/>
        <w:topLinePunct w:val="0"/>
        <w:autoSpaceDE/>
        <w:autoSpaceDN/>
        <w:bidi w:val="0"/>
        <w:adjustRightInd/>
        <w:snapToGrid/>
        <w:spacing w:line="6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6、申办人未按规定提报要件或要件不全的，均属补办件。基本程序为：</w:t>
      </w:r>
    </w:p>
    <w:p>
      <w:pPr>
        <w:keepNext w:val="0"/>
        <w:keepLines w:val="0"/>
        <w:pageBreakBefore w:val="0"/>
        <w:widowControl w:val="0"/>
        <w:kinsoku/>
        <w:wordWrap/>
        <w:overflowPunct/>
        <w:topLinePunct w:val="0"/>
        <w:autoSpaceDE/>
        <w:autoSpaceDN/>
        <w:bidi w:val="0"/>
        <w:adjustRightInd/>
        <w:snapToGrid/>
        <w:spacing w:line="6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申办人按规定提交材料及相关资料；</w:t>
      </w:r>
    </w:p>
    <w:p>
      <w:pPr>
        <w:keepNext w:val="0"/>
        <w:keepLines w:val="0"/>
        <w:pageBreakBefore w:val="0"/>
        <w:widowControl w:val="0"/>
        <w:kinsoku/>
        <w:wordWrap/>
        <w:overflowPunct/>
        <w:topLinePunct w:val="0"/>
        <w:autoSpaceDE/>
        <w:autoSpaceDN/>
        <w:bidi w:val="0"/>
        <w:adjustRightInd/>
        <w:snapToGrid/>
        <w:spacing w:line="6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工作人员填写《补办件通知书》，交申办人；</w:t>
      </w:r>
    </w:p>
    <w:p>
      <w:pPr>
        <w:keepNext w:val="0"/>
        <w:keepLines w:val="0"/>
        <w:pageBreakBefore w:val="0"/>
        <w:widowControl w:val="0"/>
        <w:kinsoku/>
        <w:wordWrap/>
        <w:overflowPunct/>
        <w:topLinePunct w:val="0"/>
        <w:autoSpaceDE/>
        <w:autoSpaceDN/>
        <w:bidi w:val="0"/>
        <w:adjustRightInd/>
        <w:snapToGrid/>
        <w:spacing w:line="6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申办人补齐或补正材料后，部门重新受理办理。</w:t>
      </w:r>
    </w:p>
    <w:p>
      <w:pPr>
        <w:keepNext w:val="0"/>
        <w:keepLines w:val="0"/>
        <w:pageBreakBefore w:val="0"/>
        <w:widowControl w:val="0"/>
        <w:kinsoku/>
        <w:wordWrap/>
        <w:overflowPunct/>
        <w:topLinePunct w:val="0"/>
        <w:autoSpaceDE/>
        <w:autoSpaceDN/>
        <w:bidi w:val="0"/>
        <w:adjustRightInd/>
        <w:snapToGrid/>
        <w:spacing w:line="660" w:lineRule="exact"/>
        <w:ind w:firstLine="640" w:firstLineChars="200"/>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三、反馈</w:t>
      </w:r>
    </w:p>
    <w:p>
      <w:pPr>
        <w:keepNext w:val="0"/>
        <w:keepLines w:val="0"/>
        <w:pageBreakBefore w:val="0"/>
        <w:widowControl w:val="0"/>
        <w:kinsoku/>
        <w:wordWrap/>
        <w:overflowPunct/>
        <w:topLinePunct w:val="0"/>
        <w:autoSpaceDE/>
        <w:autoSpaceDN/>
        <w:bidi w:val="0"/>
        <w:adjustRightInd/>
        <w:snapToGrid/>
        <w:spacing w:line="6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1、申办事项办结后，办理部门要将申办事项办理结果及时反馈申办人。</w:t>
      </w:r>
    </w:p>
    <w:p>
      <w:pPr>
        <w:keepNext w:val="0"/>
        <w:keepLines w:val="0"/>
        <w:pageBreakBefore w:val="0"/>
        <w:widowControl w:val="0"/>
        <w:kinsoku/>
        <w:wordWrap/>
        <w:overflowPunct/>
        <w:topLinePunct w:val="0"/>
        <w:autoSpaceDE/>
        <w:autoSpaceDN/>
        <w:bidi w:val="0"/>
        <w:adjustRightInd/>
        <w:snapToGrid/>
        <w:spacing w:line="6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符合法定条件，经审查能够予以办理的事项，由工作人员当场通知申办人；对不符合法定条件，经审查确定不予办理的事项，如工作人员能够当场认定的，通知申办人；对项目内容复杂、需要会同有关人员共同审议或核查的，经审议或核查确定不予办理的，应当在承诺时限内通知申办人，退回有关材料并书面说明不予办理的理由。</w:t>
      </w:r>
    </w:p>
    <w:p>
      <w:pPr>
        <w:keepNext w:val="0"/>
        <w:keepLines w:val="0"/>
        <w:pageBreakBefore w:val="0"/>
        <w:widowControl w:val="0"/>
        <w:kinsoku/>
        <w:wordWrap/>
        <w:overflowPunct/>
        <w:topLinePunct w:val="0"/>
        <w:autoSpaceDE/>
        <w:autoSpaceDN/>
        <w:bidi w:val="0"/>
        <w:adjustRightInd/>
        <w:snapToGrid/>
        <w:spacing w:line="6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3、申办人可以通过电话、信函等形式查询申办事项办理情况, 对不予办理的事项有异议，可向“中心”申请复核，也可依法申请行政复议或提起行政诉讼。</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p>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lang w:eastAsia="zh-CN"/>
        </w:rPr>
        <w:t>高家堡乡</w:t>
      </w:r>
      <w:r>
        <w:rPr>
          <w:rFonts w:hint="eastAsia" w:ascii="方正小标宋简体" w:hAnsi="方正小标宋简体" w:eastAsia="方正小标宋简体" w:cs="方正小标宋简体"/>
          <w:sz w:val="44"/>
          <w:szCs w:val="44"/>
        </w:rPr>
        <w:t>便民服务中心各项制度</w:t>
      </w:r>
    </w:p>
    <w:p>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ascii="仿宋_GB2312" w:hAnsi="仿宋_GB2312" w:eastAsia="仿宋_GB2312" w:cs="仿宋_GB2312"/>
          <w:b/>
          <w:bCs/>
          <w:sz w:val="32"/>
          <w:szCs w:val="32"/>
        </w:rPr>
      </w:pPr>
    </w:p>
    <w:p>
      <w:pPr>
        <w:keepNext w:val="0"/>
        <w:keepLines w:val="0"/>
        <w:pageBreakBefore w:val="0"/>
        <w:widowControl w:val="0"/>
        <w:kinsoku/>
        <w:wordWrap/>
        <w:overflowPunct/>
        <w:topLinePunct w:val="0"/>
        <w:autoSpaceDE/>
        <w:autoSpaceDN/>
        <w:bidi w:val="0"/>
        <w:adjustRightInd/>
        <w:snapToGrid/>
        <w:spacing w:line="640" w:lineRule="exact"/>
        <w:ind w:firstLine="643" w:firstLineChars="20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服务宗旨:</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勤政、廉洁、高效、便民</w:t>
      </w:r>
    </w:p>
    <w:p>
      <w:pPr>
        <w:keepNext w:val="0"/>
        <w:keepLines w:val="0"/>
        <w:pageBreakBefore w:val="0"/>
        <w:widowControl w:val="0"/>
        <w:kinsoku/>
        <w:wordWrap/>
        <w:overflowPunct/>
        <w:topLinePunct w:val="0"/>
        <w:autoSpaceDE/>
        <w:autoSpaceDN/>
        <w:bidi w:val="0"/>
        <w:adjustRightInd/>
        <w:snapToGrid/>
        <w:spacing w:line="640" w:lineRule="exact"/>
        <w:ind w:firstLine="643" w:firstLineChars="20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服务承诺:</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提供方便是我们的职责让您满意是我们的追求</w:t>
      </w:r>
    </w:p>
    <w:p>
      <w:pPr>
        <w:keepNext w:val="0"/>
        <w:keepLines w:val="0"/>
        <w:pageBreakBefore w:val="0"/>
        <w:widowControl w:val="0"/>
        <w:kinsoku/>
        <w:wordWrap/>
        <w:overflowPunct/>
        <w:topLinePunct w:val="0"/>
        <w:autoSpaceDE/>
        <w:autoSpaceDN/>
        <w:bidi w:val="0"/>
        <w:adjustRightInd/>
        <w:snapToGrid/>
        <w:spacing w:line="640" w:lineRule="exact"/>
        <w:ind w:firstLine="643" w:firstLineChars="20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工作守责:</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依法行政</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遵纪守法</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自尊自重，清正廉洁。</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忠于职守</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爱岗敬业</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办事规苑，高效务实。</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礼貌待人</w:t>
      </w:r>
      <w:r>
        <w:rPr>
          <w:rFonts w:hint="eastAsia" w:ascii="仿宋_GB2312" w:hAnsi="仿宋_GB2312" w:eastAsia="仿宋_GB2312" w:cs="仿宋_GB2312"/>
          <w:sz w:val="32"/>
          <w:szCs w:val="32"/>
          <w:lang w:val="en-US" w:eastAsia="zh-CN"/>
        </w:rPr>
        <w:t>,文明友善；</w:t>
      </w:r>
      <w:r>
        <w:rPr>
          <w:rFonts w:hint="eastAsia" w:ascii="仿宋_GB2312" w:hAnsi="仿宋_GB2312" w:eastAsia="仿宋_GB2312" w:cs="仿宋_GB2312"/>
          <w:sz w:val="32"/>
          <w:szCs w:val="32"/>
        </w:rPr>
        <w:t>优质服务，热情周到。</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团结互助</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尽职尽责</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服从安排，顾全大局。</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穿戴整齐</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讲究卫生</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防火防盗，安全保密。</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努力学习</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提高素质</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开拓进取，争创一流。</w:t>
      </w:r>
    </w:p>
    <w:p>
      <w:pPr>
        <w:keepNext w:val="0"/>
        <w:keepLines w:val="0"/>
        <w:pageBreakBefore w:val="0"/>
        <w:widowControl w:val="0"/>
        <w:kinsoku/>
        <w:wordWrap/>
        <w:overflowPunct/>
        <w:topLinePunct w:val="0"/>
        <w:autoSpaceDE/>
        <w:autoSpaceDN/>
        <w:bidi w:val="0"/>
        <w:adjustRightInd/>
        <w:snapToGrid/>
        <w:spacing w:line="640" w:lineRule="exact"/>
        <w:ind w:firstLine="643" w:firstLineChars="20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便民服务中心基本要求：</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1、便民服务中心全体工作人员坚持“勤政、廉洁、高效、 便民”的服务宗旨，为办事群众提供优质、高效的服务，做到情为民所系，利为民所谋，权为民所用。</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2、树立强烈的事业心和责任感，兢兢业业，求真务实，创新进取，甘于奉献。窗口之间、同事之间相互尊重，密切配合, 共同维护便民服务中心整体形象。</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3、牢固树立诚信观念，强化信用意识，做到限时办结，践 守承诺。</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4、勤奋学习，刻苦钻研政策法规，熟练掌握与窗口服务相关的业务知识。</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5、按照规定的职责权限和工作程序履行职责，依法办事，严格、公正、文明服务，不滥用权力，不以权代法。</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6、严格遵守便民服务中心的各项制度，工作时间做到不说笑打闹，不大声喧哗，不扎堆聊天，工作时间不串岗，不玩游戏, 不吃零食，上班时间不饮酒，不做与工作无关的事情。</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7、不迟到，不早退，不脱岗，不空岗，因公外出或</w:t>
      </w:r>
      <w:r>
        <w:rPr>
          <w:rFonts w:hint="eastAsia" w:ascii="仿宋_GB2312" w:hAnsi="仿宋_GB2312" w:eastAsia="仿宋_GB2312" w:cs="仿宋_GB2312"/>
          <w:sz w:val="32"/>
          <w:szCs w:val="32"/>
          <w:lang w:eastAsia="zh-CN"/>
        </w:rPr>
        <w:t>其他事由</w:t>
      </w:r>
      <w:r>
        <w:rPr>
          <w:rFonts w:hint="eastAsia" w:ascii="仿宋_GB2312" w:hAnsi="仿宋_GB2312" w:eastAsia="仿宋_GB2312" w:cs="仿宋_GB2312"/>
          <w:sz w:val="32"/>
          <w:szCs w:val="32"/>
        </w:rPr>
        <w:t>到党政办履行外出手续。</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8、廉洁自律，秉公办事、不以职务之便谋取私利，不以任何形式吃、拿、卡、要，做到勤政廉洁，优质服务，树立人民公仆的良好形象。</w:t>
      </w:r>
    </w:p>
    <w:p>
      <w:pPr>
        <w:keepNext w:val="0"/>
        <w:keepLines w:val="0"/>
        <w:pageBreakBefore w:val="0"/>
        <w:widowControl w:val="0"/>
        <w:kinsoku/>
        <w:wordWrap/>
        <w:overflowPunct/>
        <w:topLinePunct w:val="0"/>
        <w:autoSpaceDE/>
        <w:autoSpaceDN/>
        <w:bidi w:val="0"/>
        <w:adjustRightInd/>
        <w:snapToGrid/>
        <w:spacing w:before="313" w:beforeLines="100" w:after="313" w:afterLines="100" w:line="640" w:lineRule="exact"/>
        <w:ind w:firstLine="0" w:firstLineChars="0"/>
        <w:jc w:val="center"/>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签到考勤制度</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1、工作人员必须严格遵守工作纪律，按时上、下班，不准无故迟到</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早退。上班期间要坚守岗位，认真履行职责，不得离岗、串岗。</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2、上班实行签到制度。签到情况一月一汇总，分管领导对旷工人员进行提醒谈话。</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3、上班期间实行不定时查岗制度。工作时间外出办事，需向中心负责人告知，并履行外出报备手续，并保持通讯畅通。</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4、上班时间严禁做与工作无关的事。上班期间利用电脑或手机打游戏、看视频、听歌、网购等，一经发事严肃处理。</w:t>
      </w:r>
    </w:p>
    <w:p>
      <w:pPr>
        <w:keepNext w:val="0"/>
        <w:keepLines w:val="0"/>
        <w:pageBreakBefore w:val="0"/>
        <w:widowControl w:val="0"/>
        <w:kinsoku/>
        <w:wordWrap/>
        <w:overflowPunct/>
        <w:topLinePunct w:val="0"/>
        <w:autoSpaceDE/>
        <w:autoSpaceDN/>
        <w:bidi w:val="0"/>
        <w:adjustRightInd/>
        <w:snapToGrid/>
        <w:spacing w:before="313" w:beforeLines="100" w:after="313" w:afterLines="100" w:line="640" w:lineRule="exact"/>
        <w:ind w:firstLine="0" w:firstLineChars="0"/>
        <w:jc w:val="center"/>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一次性告知制度：</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1、一次性告知制是指中心对群众咨询或办理的事项所需材料和手续应一次性告知情况的制度。</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2、当服务对象咨询或办理的事项属于本人业务范围时，必须按法律法规及有关规定，一次性清楚地告知咨询事项的办理程序、有关手续、必要的资料、具体如何办理。</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3、申请材料不齐全或者不符合法定形式的，窗口工作人员应当场一次性告知办事群众需要补正的全部材料并出具书面凭证，未履行告知义务的，自收到申请材料之日起即为受理。</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4、当服务对象咨询或办理的事项不属于本人的业务范围的, 根据首问责任制的原则办理。</w:t>
      </w:r>
    </w:p>
    <w:p>
      <w:pPr>
        <w:keepNext w:val="0"/>
        <w:keepLines w:val="0"/>
        <w:pageBreakBefore w:val="0"/>
        <w:widowControl w:val="0"/>
        <w:kinsoku/>
        <w:wordWrap/>
        <w:overflowPunct/>
        <w:topLinePunct w:val="0"/>
        <w:autoSpaceDE/>
        <w:autoSpaceDN/>
        <w:bidi w:val="0"/>
        <w:adjustRightInd/>
        <w:snapToGrid/>
        <w:spacing w:before="313" w:beforeLines="100" w:after="313" w:afterLines="100" w:line="640" w:lineRule="exact"/>
        <w:ind w:firstLine="0" w:firstLineChars="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工作人员行为规范</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1、讲究办公礼仪，确保仪容、仪表、仪态规范。</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2、服装整洁，穿着得体，佩证上网，服务公开。</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3、精神饱满，自然大方，站、坐的姿势要端正，在服务对象面前不做任何不礼貌的举动。</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4、不得随意吐痰，乱扔杂物，工作</w:t>
      </w:r>
      <w:r>
        <w:rPr>
          <w:rFonts w:hint="eastAsia" w:ascii="仿宋_GB2312" w:hAnsi="仿宋_GB2312" w:eastAsia="仿宋_GB2312" w:cs="仿宋_GB2312"/>
          <w:sz w:val="32"/>
          <w:szCs w:val="32"/>
          <w:lang w:eastAsia="zh-CN"/>
        </w:rPr>
        <w:t>窗</w:t>
      </w:r>
      <w:r>
        <w:rPr>
          <w:rFonts w:hint="eastAsia" w:ascii="仿宋_GB2312" w:hAnsi="仿宋_GB2312" w:eastAsia="仿宋_GB2312" w:cs="仿宋_GB2312"/>
          <w:sz w:val="32"/>
          <w:szCs w:val="32"/>
        </w:rPr>
        <w:t>口要保持干净整洁。</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5、接待群众热情、周到、主动。使用文明用语做到语音清晰，语气诚恳，语速适中，语调平和，语意明确，做到微笑服务, 提倡讲普通话。</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6、耐心听取群众的意见，虚心接受群众的批评，诚恳感谢群众提出的建议，做到有则改之，无则加勉。</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7、处理问题，要冷静，不能与群众发生争执。</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8、不确定的问题，不回避，不否定，不急于下结论，及时向单位分管领导汇报后再答复群众。</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9、做到“三声、四清”。“三声”即：来有迎声，问有答声，走有送声；“四清”即：咨询一次讲清，表格一次发清，材料一次性收清，内容一次审清。</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10、实行一次性告知制、首问负责制和限时办结制，把方便带给群众，把麻烦留给自己。</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11、需要群众填写审批登记表时，要提出群众参照书写示范样本填写，如填写有误，应给予热情的指导和帮助。</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12、因系统出现故障或停电而影响业务办理时，给群众耐心解释，并致歉，待系统恢复后，尽快办理。</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13、当群众的要求与政策法规相悖时，要向群众耐心解释，不能与群众发生争执；当群众过于激动时，可向负责人反映并做好进一步解释工作。</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14、残疾人及行动不便的群众来办事时，应上前搀扶，代办填表等事宜。对听力不好的老年人，声音应适当提高，语速放慢。</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15、临近下班时间，对正在处事中的业务应照常办理完后方可下班。下班时仍有等候办理业务的群众，不可生硬拒绝，应将事情办理完毕后方可离开。</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16、值班人员负责便民中心当日清洁卫生（早晚各一次）。</w:t>
      </w:r>
    </w:p>
    <w:p>
      <w:pPr>
        <w:keepNext w:val="0"/>
        <w:keepLines w:val="0"/>
        <w:pageBreakBefore w:val="0"/>
        <w:widowControl w:val="0"/>
        <w:kinsoku/>
        <w:wordWrap/>
        <w:overflowPunct/>
        <w:topLinePunct w:val="0"/>
        <w:autoSpaceDE/>
        <w:autoSpaceDN/>
        <w:bidi w:val="0"/>
        <w:adjustRightInd/>
        <w:snapToGrid/>
        <w:spacing w:before="313" w:beforeLines="100" w:after="313" w:afterLines="100" w:line="640" w:lineRule="exact"/>
        <w:ind w:firstLine="0" w:firstLineChars="0"/>
        <w:jc w:val="center"/>
        <w:textAlignment w:val="auto"/>
        <w:rPr>
          <w:rFonts w:hint="eastAsia" w:ascii="仿宋_GB2312" w:hAnsi="仿宋_GB2312" w:eastAsia="仿宋_GB2312" w:cs="仿宋_GB2312"/>
          <w:b/>
          <w:bCs/>
          <w:sz w:val="32"/>
          <w:szCs w:val="32"/>
        </w:rPr>
      </w:pPr>
    </w:p>
    <w:p>
      <w:pPr>
        <w:keepNext w:val="0"/>
        <w:keepLines w:val="0"/>
        <w:pageBreakBefore w:val="0"/>
        <w:widowControl w:val="0"/>
        <w:kinsoku/>
        <w:wordWrap/>
        <w:overflowPunct/>
        <w:topLinePunct w:val="0"/>
        <w:autoSpaceDE/>
        <w:autoSpaceDN/>
        <w:bidi w:val="0"/>
        <w:adjustRightInd/>
        <w:snapToGrid/>
        <w:spacing w:before="313" w:beforeLines="100" w:after="313" w:afterLines="100" w:line="640" w:lineRule="exact"/>
        <w:ind w:firstLine="0" w:firstLineChars="0"/>
        <w:jc w:val="center"/>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限时办结制度</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1、限时办结制是便民服务中心按照规定的时间、程序和要求处理政务服务事项的制度。</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2、限时办结的时限以日计算。开始之日不计算在办理时限内。符合条件的，其办理时限从收到申请的次日起计算。材料不齐全或者不符合法定形式的，其办理时限从服务相对人补正材料的次日起计算。</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3、申请事项不需要进行审批或者确认登记的，或者不属于本中心职责范围的，应当在规定的时限内告知行政相对人，出具书面凭证。送达书面凭证之日即为办结或者答复的日期。</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因特殊情况不能按时限办结或予以答复，需要延期的，应在时限内依照有关法律、法规、规章规定，以书面或电话形式告知行政相对人原因和理由，并同时告知办理时限。若因行政相对人因自身责任，不按行政机关告知的流程表规定的时间到服务窗口办理相关手续，其申请办理的事项应视为已按时办结。</w:t>
      </w:r>
    </w:p>
    <w:p>
      <w:pPr>
        <w:keepNext w:val="0"/>
        <w:keepLines w:val="0"/>
        <w:pageBreakBefore w:val="0"/>
        <w:widowControl w:val="0"/>
        <w:kinsoku/>
        <w:wordWrap/>
        <w:overflowPunct/>
        <w:topLinePunct w:val="0"/>
        <w:autoSpaceDE/>
        <w:autoSpaceDN/>
        <w:bidi w:val="0"/>
        <w:adjustRightInd/>
        <w:snapToGrid/>
        <w:spacing w:before="313" w:beforeLines="100" w:after="313" w:afterLines="100" w:line="640" w:lineRule="exact"/>
        <w:ind w:firstLine="643" w:firstLineChars="200"/>
        <w:jc w:val="center"/>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首问负责制度</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首问负责制是指对公民、法人或其他组织（以下统称行政相对人）到中心咨询或办理相关事项时，首位接待或受理的工作人员认真解答、负责办理或引荐到相关部门的制度。首次依照职责接待行政相对人的工作人员是首问责任人。</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首问责任制遵循热情主动、文明办事、服务规范、及时高效的原则。我中心根据业务职能确定责任内容，实行首问责任制受理及处理结果情况登记制度，建立登记台账，对重要来访人员的姓名、单位、时间、咨询或办理事项、办理结果等进行登记。</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3、首问责任人对属于自己承办的事项应立即接办；对不属于自己承办的事项，应将办事人员引导至承办人，或将有关事项转交承办人。</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4、首问责任人对符合条件的申请应当场受理；可以当场办理的应当场办理，不能当场办理的应当向行政相对人说明理由。对于行政相对人提交的材料不齐全、或者不符合法定形式的，应当一次性告知需要补正的全部材料；对把握不准的或者特别重大以及紧急的事项，首问责任人应当及时向相关领导汇报</w:t>
      </w:r>
      <w:r>
        <w:rPr>
          <w:rFonts w:hint="eastAsia" w:ascii="仿宋_GB2312" w:hAnsi="仿宋_GB2312" w:eastAsia="仿宋_GB2312" w:cs="仿宋_GB2312"/>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附件：</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lang w:eastAsia="zh-CN"/>
        </w:rPr>
        <w:t>高家堡乡便民服务中心流程图</w:t>
      </w:r>
    </w:p>
    <w:p>
      <w:pPr>
        <w:keepNext w:val="0"/>
        <w:keepLines w:val="0"/>
        <w:pageBreakBefore w:val="0"/>
        <w:widowControl w:val="0"/>
        <w:kinsoku/>
        <w:wordWrap/>
        <w:overflowPunct/>
        <w:topLinePunct w:val="0"/>
        <w:autoSpaceDE/>
        <w:autoSpaceDN/>
        <w:bidi w:val="0"/>
        <w:adjustRightInd/>
        <w:snapToGrid/>
        <w:spacing w:line="640" w:lineRule="exact"/>
        <w:ind w:firstLine="1600" w:firstLineChars="5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2.高家堡乡便民服务中心事项审批表</w:t>
      </w:r>
    </w:p>
    <w:p>
      <w:pPr>
        <w:keepNext w:val="0"/>
        <w:keepLines w:val="0"/>
        <w:pageBreakBefore w:val="0"/>
        <w:widowControl w:val="0"/>
        <w:kinsoku/>
        <w:wordWrap/>
        <w:overflowPunct/>
        <w:topLinePunct w:val="0"/>
        <w:autoSpaceDE/>
        <w:autoSpaceDN/>
        <w:bidi w:val="0"/>
        <w:adjustRightInd/>
        <w:snapToGrid/>
        <w:spacing w:line="640" w:lineRule="exact"/>
        <w:ind w:firstLine="1600" w:firstLineChars="500"/>
        <w:textAlignment w:val="auto"/>
        <w:rPr>
          <w:rFonts w:hint="default"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640" w:lineRule="exact"/>
        <w:ind w:firstLine="1600" w:firstLineChars="500"/>
        <w:textAlignment w:val="auto"/>
        <w:rPr>
          <w:rFonts w:hint="default"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640" w:lineRule="exact"/>
        <w:ind w:firstLine="1600" w:firstLineChars="500"/>
        <w:textAlignment w:val="auto"/>
        <w:rPr>
          <w:rFonts w:hint="default"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640" w:lineRule="exact"/>
        <w:ind w:firstLine="1600" w:firstLineChars="500"/>
        <w:textAlignment w:val="auto"/>
        <w:rPr>
          <w:rFonts w:hint="default"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640" w:lineRule="exact"/>
        <w:ind w:firstLine="1600" w:firstLineChars="500"/>
        <w:textAlignment w:val="auto"/>
        <w:rPr>
          <w:rFonts w:hint="default"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640" w:lineRule="exact"/>
        <w:ind w:firstLine="1600" w:firstLineChars="500"/>
        <w:textAlignment w:val="auto"/>
        <w:rPr>
          <w:rFonts w:hint="default"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640" w:lineRule="exact"/>
        <w:ind w:firstLine="1600" w:firstLineChars="500"/>
        <w:textAlignment w:val="auto"/>
        <w:rPr>
          <w:rFonts w:hint="default"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640" w:lineRule="exact"/>
        <w:ind w:firstLine="1600" w:firstLineChars="500"/>
        <w:textAlignment w:val="auto"/>
        <w:rPr>
          <w:rFonts w:hint="default"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640" w:lineRule="exact"/>
        <w:ind w:firstLine="1600" w:firstLineChars="500"/>
        <w:textAlignment w:val="auto"/>
        <w:rPr>
          <w:rFonts w:hint="default"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640" w:lineRule="exact"/>
        <w:ind w:firstLine="1600" w:firstLineChars="500"/>
        <w:textAlignment w:val="auto"/>
        <w:rPr>
          <w:rFonts w:hint="default" w:ascii="仿宋_GB2312" w:hAnsi="仿宋_GB2312" w:eastAsia="仿宋_GB2312" w:cs="仿宋_GB2312"/>
          <w:sz w:val="32"/>
          <w:szCs w:val="32"/>
          <w:lang w:val="en-US" w:eastAsia="zh-CN"/>
        </w:rPr>
      </w:pPr>
    </w:p>
    <w:p>
      <w:pPr>
        <w:jc w:val="both"/>
        <w:rPr>
          <w:rFonts w:hint="default" w:ascii="方正小标宋简体" w:hAnsi="方正小标宋简体" w:eastAsia="方正小标宋简体" w:cs="方正小标宋简体"/>
          <w:sz w:val="44"/>
          <w:szCs w:val="44"/>
          <w:lang w:val="en-US" w:eastAsia="zh-CN"/>
        </w:rPr>
      </w:pPr>
      <w:r>
        <w:rPr>
          <w:rFonts w:hint="eastAsia" w:ascii="黑体" w:hAnsi="黑体" w:eastAsia="黑体" w:cs="黑体"/>
          <w:sz w:val="32"/>
          <w:szCs w:val="32"/>
          <w:lang w:val="en-US" w:eastAsia="zh-CN"/>
        </w:rPr>
        <w:t>附件1：</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高家堡乡便民服务中心流程图</w:t>
      </w:r>
    </w:p>
    <w:p>
      <w:pPr>
        <w:jc w:val="center"/>
        <w:rPr>
          <w:rFonts w:hint="eastAsia" w:ascii="黑体" w:hAnsi="黑体" w:eastAsia="黑体" w:cs="黑体"/>
          <w:sz w:val="44"/>
          <w:szCs w:val="44"/>
          <w:lang w:val="en-US" w:eastAsia="zh-CN"/>
        </w:rPr>
      </w:pPr>
      <w:r>
        <w:rPr>
          <w:rFonts w:hint="eastAsia" w:ascii="黑体" w:hAnsi="黑体" w:eastAsia="黑体" w:cs="黑体"/>
          <w:sz w:val="44"/>
          <w:szCs w:val="44"/>
          <w:lang w:val="en-US" w:eastAsia="zh-CN"/>
        </w:rPr>
        <w:drawing>
          <wp:inline distT="0" distB="0" distL="114300" distR="114300">
            <wp:extent cx="6076950" cy="6414135"/>
            <wp:effectExtent l="0" t="0" r="0" b="5715"/>
            <wp:docPr id="1" name="图片 1" descr="16177040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1617704002(1)"/>
                    <pic:cNvPicPr>
                      <a:picLocks noChangeAspect="1"/>
                    </pic:cNvPicPr>
                  </pic:nvPicPr>
                  <pic:blipFill>
                    <a:blip r:embed="rId4"/>
                    <a:stretch>
                      <a:fillRect/>
                    </a:stretch>
                  </pic:blipFill>
                  <pic:spPr>
                    <a:xfrm>
                      <a:off x="0" y="0"/>
                      <a:ext cx="6076950" cy="6414135"/>
                    </a:xfrm>
                    <a:prstGeom prst="rect">
                      <a:avLst/>
                    </a:prstGeom>
                    <a:noFill/>
                    <a:ln>
                      <a:noFill/>
                    </a:ln>
                  </pic:spPr>
                </pic:pic>
              </a:graphicData>
            </a:graphic>
          </wp:inline>
        </w:drawing>
      </w:r>
    </w:p>
    <w:p>
      <w:pPr>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说明：</w:t>
      </w:r>
    </w:p>
    <w:p>
      <w:pPr>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咨询告知件：不属于本中心办理的事项，一次性告知所需材料及办理地点。</w:t>
      </w:r>
    </w:p>
    <w:p>
      <w:pPr>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即办件：程序简单、材料齐全、可当场办理的申请事项。</w:t>
      </w:r>
    </w:p>
    <w:p>
      <w:pPr>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承诺件：需现场勘查或其他不能即办的申请事项，采取承诺办理。</w:t>
      </w:r>
    </w:p>
    <w:p>
      <w:pPr>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上报件：需上报办理的申请事项，便民中心完成初审后上报主管部门办理。</w:t>
      </w:r>
    </w:p>
    <w:p>
      <w:pPr>
        <w:jc w:val="both"/>
        <w:rPr>
          <w:rFonts w:hint="default" w:ascii="方正小标宋简体" w:hAnsi="方正小标宋简体" w:eastAsia="方正小标宋简体" w:cs="方正小标宋简体"/>
          <w:sz w:val="44"/>
          <w:szCs w:val="44"/>
          <w:lang w:val="en-US" w:eastAsia="zh-CN"/>
        </w:rPr>
      </w:pPr>
      <w:r>
        <w:rPr>
          <w:rFonts w:hint="eastAsia" w:ascii="黑体" w:hAnsi="黑体" w:eastAsia="黑体" w:cs="黑体"/>
          <w:sz w:val="32"/>
          <w:szCs w:val="32"/>
          <w:lang w:val="en-US" w:eastAsia="zh-CN"/>
        </w:rPr>
        <w:t>附件2：</w:t>
      </w:r>
    </w:p>
    <w:tbl>
      <w:tblPr>
        <w:tblStyle w:val="2"/>
        <w:tblW w:w="9909" w:type="dxa"/>
        <w:jc w:val="center"/>
        <w:tblLayout w:type="fixed"/>
        <w:tblCellMar>
          <w:top w:w="0" w:type="dxa"/>
          <w:left w:w="108" w:type="dxa"/>
          <w:bottom w:w="0" w:type="dxa"/>
          <w:right w:w="108" w:type="dxa"/>
        </w:tblCellMar>
      </w:tblPr>
      <w:tblGrid>
        <w:gridCol w:w="1565"/>
        <w:gridCol w:w="1669"/>
        <w:gridCol w:w="980"/>
        <w:gridCol w:w="2025"/>
        <w:gridCol w:w="1294"/>
        <w:gridCol w:w="2376"/>
      </w:tblGrid>
      <w:tr>
        <w:tblPrEx>
          <w:tblCellMar>
            <w:top w:w="0" w:type="dxa"/>
            <w:left w:w="108" w:type="dxa"/>
            <w:bottom w:w="0" w:type="dxa"/>
            <w:right w:w="108" w:type="dxa"/>
          </w:tblCellMar>
        </w:tblPrEx>
        <w:trPr>
          <w:trHeight w:val="880" w:hRule="atLeast"/>
          <w:jc w:val="center"/>
        </w:trPr>
        <w:tc>
          <w:tcPr>
            <w:tcW w:w="9909" w:type="dxa"/>
            <w:gridSpan w:val="6"/>
            <w:tcBorders>
              <w:top w:val="nil"/>
              <w:left w:val="nil"/>
              <w:bottom w:val="nil"/>
              <w:right w:val="nil"/>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36"/>
                <w:szCs w:val="36"/>
                <w:u w:val="none"/>
              </w:rPr>
            </w:pPr>
            <w:r>
              <w:rPr>
                <w:rFonts w:hint="eastAsia" w:ascii="方正小标宋简体" w:hAnsi="方正小标宋简体" w:eastAsia="方正小标宋简体" w:cs="方正小标宋简体"/>
                <w:i w:val="0"/>
                <w:iCs w:val="0"/>
                <w:color w:val="000000"/>
                <w:kern w:val="0"/>
                <w:sz w:val="44"/>
                <w:szCs w:val="44"/>
                <w:u w:val="none"/>
                <w:lang w:val="en-US" w:eastAsia="zh-CN" w:bidi="ar"/>
              </w:rPr>
              <w:t>高家堡乡便民服务中心事项审批表</w:t>
            </w:r>
          </w:p>
        </w:tc>
      </w:tr>
      <w:tr>
        <w:tblPrEx>
          <w:tblCellMar>
            <w:top w:w="0" w:type="dxa"/>
            <w:left w:w="108" w:type="dxa"/>
            <w:bottom w:w="0" w:type="dxa"/>
            <w:right w:w="108" w:type="dxa"/>
          </w:tblCellMar>
        </w:tblPrEx>
        <w:trPr>
          <w:trHeight w:val="520" w:hRule="atLeast"/>
          <w:jc w:val="center"/>
        </w:trPr>
        <w:tc>
          <w:tcPr>
            <w:tcW w:w="1565" w:type="dxa"/>
            <w:tcBorders>
              <w:top w:val="nil"/>
              <w:left w:val="nil"/>
              <w:bottom w:val="nil"/>
              <w:right w:val="nil"/>
            </w:tcBorders>
            <w:noWrap/>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编号：</w:t>
            </w:r>
          </w:p>
        </w:tc>
        <w:tc>
          <w:tcPr>
            <w:tcW w:w="1669" w:type="dxa"/>
            <w:tcBorders>
              <w:top w:val="nil"/>
              <w:left w:val="nil"/>
              <w:bottom w:val="nil"/>
              <w:right w:val="nil"/>
            </w:tcBorders>
            <w:noWrap/>
            <w:vAlign w:val="center"/>
          </w:tcPr>
          <w:p>
            <w:pPr>
              <w:rPr>
                <w:rFonts w:hint="eastAsia" w:ascii="仿宋_GB2312" w:hAnsi="仿宋_GB2312" w:eastAsia="仿宋_GB2312" w:cs="仿宋_GB2312"/>
                <w:i w:val="0"/>
                <w:iCs w:val="0"/>
                <w:color w:val="000000"/>
                <w:sz w:val="24"/>
                <w:szCs w:val="24"/>
                <w:u w:val="none"/>
              </w:rPr>
            </w:pPr>
          </w:p>
        </w:tc>
        <w:tc>
          <w:tcPr>
            <w:tcW w:w="980" w:type="dxa"/>
            <w:tcBorders>
              <w:top w:val="nil"/>
              <w:left w:val="nil"/>
              <w:bottom w:val="nil"/>
              <w:right w:val="nil"/>
            </w:tcBorders>
            <w:noWrap/>
            <w:vAlign w:val="center"/>
          </w:tcPr>
          <w:p>
            <w:pPr>
              <w:rPr>
                <w:rFonts w:hint="eastAsia" w:ascii="仿宋_GB2312" w:hAnsi="仿宋_GB2312" w:eastAsia="仿宋_GB2312" w:cs="仿宋_GB2312"/>
                <w:i w:val="0"/>
                <w:iCs w:val="0"/>
                <w:color w:val="000000"/>
                <w:sz w:val="24"/>
                <w:szCs w:val="24"/>
                <w:u w:val="none"/>
              </w:rPr>
            </w:pPr>
          </w:p>
        </w:tc>
        <w:tc>
          <w:tcPr>
            <w:tcW w:w="2025" w:type="dxa"/>
            <w:tcBorders>
              <w:top w:val="nil"/>
              <w:left w:val="nil"/>
              <w:bottom w:val="nil"/>
              <w:right w:val="nil"/>
            </w:tcBorders>
            <w:noWrap/>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日期：</w:t>
            </w:r>
          </w:p>
        </w:tc>
        <w:tc>
          <w:tcPr>
            <w:tcW w:w="1294" w:type="dxa"/>
            <w:tcBorders>
              <w:top w:val="nil"/>
              <w:left w:val="nil"/>
              <w:bottom w:val="nil"/>
              <w:right w:val="nil"/>
            </w:tcBorders>
            <w:noWrap/>
            <w:vAlign w:val="center"/>
          </w:tcPr>
          <w:p>
            <w:pPr>
              <w:rPr>
                <w:rFonts w:hint="eastAsia" w:ascii="仿宋_GB2312" w:hAnsi="仿宋_GB2312" w:eastAsia="仿宋_GB2312" w:cs="仿宋_GB2312"/>
                <w:i w:val="0"/>
                <w:iCs w:val="0"/>
                <w:color w:val="000000"/>
                <w:sz w:val="22"/>
                <w:szCs w:val="22"/>
                <w:u w:val="none"/>
              </w:rPr>
            </w:pPr>
          </w:p>
        </w:tc>
        <w:tc>
          <w:tcPr>
            <w:tcW w:w="2376" w:type="dxa"/>
            <w:tcBorders>
              <w:top w:val="nil"/>
              <w:left w:val="nil"/>
              <w:bottom w:val="nil"/>
              <w:right w:val="nil"/>
            </w:tcBorders>
            <w:noWrap/>
            <w:vAlign w:val="center"/>
          </w:tcPr>
          <w:p>
            <w:pPr>
              <w:rPr>
                <w:rFonts w:hint="eastAsia" w:ascii="仿宋_GB2312" w:hAnsi="仿宋_GB2312" w:eastAsia="仿宋_GB2312" w:cs="仿宋_GB2312"/>
                <w:i w:val="0"/>
                <w:iCs w:val="0"/>
                <w:color w:val="000000"/>
                <w:sz w:val="22"/>
                <w:szCs w:val="22"/>
                <w:u w:val="none"/>
              </w:rPr>
            </w:pPr>
          </w:p>
        </w:tc>
      </w:tr>
      <w:tr>
        <w:tblPrEx>
          <w:tblCellMar>
            <w:top w:w="0" w:type="dxa"/>
            <w:left w:w="108" w:type="dxa"/>
            <w:bottom w:w="0" w:type="dxa"/>
            <w:right w:w="108" w:type="dxa"/>
          </w:tblCellMar>
        </w:tblPrEx>
        <w:trPr>
          <w:trHeight w:val="680" w:hRule="atLeast"/>
          <w:jc w:val="center"/>
        </w:trPr>
        <w:tc>
          <w:tcPr>
            <w:tcW w:w="15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单位</w:t>
            </w:r>
          </w:p>
        </w:tc>
        <w:tc>
          <w:tcPr>
            <w:tcW w:w="1669"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仿宋_GB2312" w:hAnsi="仿宋_GB2312" w:eastAsia="仿宋_GB2312" w:cs="仿宋_GB2312"/>
                <w:i w:val="0"/>
                <w:iCs w:val="0"/>
                <w:color w:val="000000"/>
                <w:sz w:val="24"/>
                <w:szCs w:val="24"/>
                <w:u w:val="none"/>
              </w:rPr>
            </w:pPr>
          </w:p>
        </w:tc>
        <w:tc>
          <w:tcPr>
            <w:tcW w:w="98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承办人</w:t>
            </w:r>
          </w:p>
        </w:tc>
        <w:tc>
          <w:tcPr>
            <w:tcW w:w="2025"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仿宋_GB2312" w:hAnsi="仿宋_GB2312" w:eastAsia="仿宋_GB2312" w:cs="仿宋_GB2312"/>
                <w:i w:val="0"/>
                <w:iCs w:val="0"/>
                <w:color w:val="000000"/>
                <w:sz w:val="24"/>
                <w:szCs w:val="24"/>
                <w:u w:val="none"/>
              </w:rPr>
            </w:pPr>
          </w:p>
        </w:tc>
        <w:tc>
          <w:tcPr>
            <w:tcW w:w="129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联系电话</w:t>
            </w:r>
          </w:p>
        </w:tc>
        <w:tc>
          <w:tcPr>
            <w:tcW w:w="2376"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仿宋_GB2312" w:hAnsi="仿宋_GB2312" w:eastAsia="仿宋_GB2312" w:cs="仿宋_GB2312"/>
                <w:i w:val="0"/>
                <w:iCs w:val="0"/>
                <w:color w:val="000000"/>
                <w:sz w:val="24"/>
                <w:szCs w:val="24"/>
                <w:u w:val="none"/>
              </w:rPr>
            </w:pPr>
          </w:p>
        </w:tc>
      </w:tr>
      <w:tr>
        <w:tblPrEx>
          <w:tblCellMar>
            <w:top w:w="0" w:type="dxa"/>
            <w:left w:w="108" w:type="dxa"/>
            <w:bottom w:w="0" w:type="dxa"/>
            <w:right w:w="108" w:type="dxa"/>
          </w:tblCellMar>
        </w:tblPrEx>
        <w:trPr>
          <w:trHeight w:val="1242" w:hRule="atLeast"/>
          <w:jc w:val="center"/>
        </w:trPr>
        <w:tc>
          <w:tcPr>
            <w:tcW w:w="15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事由</w:t>
            </w:r>
          </w:p>
        </w:tc>
        <w:tc>
          <w:tcPr>
            <w:tcW w:w="8344" w:type="dxa"/>
            <w:gridSpan w:val="5"/>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仿宋_GB2312" w:hAnsi="仿宋_GB2312" w:eastAsia="仿宋_GB2312" w:cs="仿宋_GB2312"/>
                <w:i w:val="0"/>
                <w:iCs w:val="0"/>
                <w:color w:val="000000"/>
                <w:sz w:val="22"/>
                <w:szCs w:val="22"/>
                <w:u w:val="none"/>
              </w:rPr>
            </w:pPr>
          </w:p>
        </w:tc>
      </w:tr>
      <w:tr>
        <w:tblPrEx>
          <w:tblCellMar>
            <w:top w:w="0" w:type="dxa"/>
            <w:left w:w="108" w:type="dxa"/>
            <w:bottom w:w="0" w:type="dxa"/>
            <w:right w:w="108" w:type="dxa"/>
          </w:tblCellMar>
        </w:tblPrEx>
        <w:trPr>
          <w:trHeight w:val="1480" w:hRule="atLeast"/>
          <w:jc w:val="center"/>
        </w:trPr>
        <w:tc>
          <w:tcPr>
            <w:tcW w:w="156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站、所（办）</w:t>
            </w:r>
            <w:r>
              <w:rPr>
                <w:rFonts w:hint="eastAsia" w:ascii="仿宋_GB2312" w:hAnsi="仿宋_GB2312" w:eastAsia="仿宋_GB2312" w:cs="仿宋_GB2312"/>
                <w:i w:val="0"/>
                <w:iCs w:val="0"/>
                <w:color w:val="000000"/>
                <w:kern w:val="0"/>
                <w:sz w:val="24"/>
                <w:szCs w:val="24"/>
                <w:u w:val="none"/>
                <w:lang w:val="en-US" w:eastAsia="zh-CN" w:bidi="ar"/>
              </w:rPr>
              <w:br w:type="textWrapping"/>
            </w:r>
            <w:r>
              <w:rPr>
                <w:rFonts w:hint="eastAsia" w:ascii="仿宋_GB2312" w:hAnsi="仿宋_GB2312" w:eastAsia="仿宋_GB2312" w:cs="仿宋_GB2312"/>
                <w:i w:val="0"/>
                <w:iCs w:val="0"/>
                <w:color w:val="000000"/>
                <w:kern w:val="0"/>
                <w:sz w:val="24"/>
                <w:szCs w:val="24"/>
                <w:u w:val="none"/>
                <w:lang w:val="en-US" w:eastAsia="zh-CN" w:bidi="ar"/>
              </w:rPr>
              <w:t>意见</w:t>
            </w:r>
          </w:p>
        </w:tc>
        <w:tc>
          <w:tcPr>
            <w:tcW w:w="8344" w:type="dxa"/>
            <w:gridSpan w:val="5"/>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仿宋_GB2312" w:hAnsi="仿宋_GB2312" w:eastAsia="仿宋_GB2312" w:cs="仿宋_GB2312"/>
                <w:i w:val="0"/>
                <w:iCs w:val="0"/>
                <w:color w:val="000000"/>
                <w:sz w:val="22"/>
                <w:szCs w:val="22"/>
                <w:u w:val="none"/>
              </w:rPr>
            </w:pPr>
          </w:p>
        </w:tc>
      </w:tr>
      <w:tr>
        <w:tblPrEx>
          <w:tblCellMar>
            <w:top w:w="0" w:type="dxa"/>
            <w:left w:w="108" w:type="dxa"/>
            <w:bottom w:w="0" w:type="dxa"/>
            <w:right w:w="108" w:type="dxa"/>
          </w:tblCellMar>
        </w:tblPrEx>
        <w:trPr>
          <w:trHeight w:val="1740" w:hRule="atLeast"/>
          <w:jc w:val="center"/>
        </w:trPr>
        <w:tc>
          <w:tcPr>
            <w:tcW w:w="156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便民服务中心</w:t>
            </w:r>
            <w:r>
              <w:rPr>
                <w:rFonts w:hint="eastAsia" w:ascii="仿宋_GB2312" w:hAnsi="仿宋_GB2312" w:eastAsia="仿宋_GB2312" w:cs="仿宋_GB2312"/>
                <w:i w:val="0"/>
                <w:iCs w:val="0"/>
                <w:color w:val="000000"/>
                <w:kern w:val="0"/>
                <w:sz w:val="24"/>
                <w:szCs w:val="24"/>
                <w:u w:val="none"/>
                <w:lang w:val="en-US" w:eastAsia="zh-CN" w:bidi="ar"/>
              </w:rPr>
              <w:br w:type="textWrapping"/>
            </w:r>
            <w:r>
              <w:rPr>
                <w:rFonts w:hint="eastAsia" w:ascii="仿宋_GB2312" w:hAnsi="仿宋_GB2312" w:eastAsia="仿宋_GB2312" w:cs="仿宋_GB2312"/>
                <w:i w:val="0"/>
                <w:iCs w:val="0"/>
                <w:color w:val="000000"/>
                <w:kern w:val="0"/>
                <w:sz w:val="24"/>
                <w:szCs w:val="24"/>
                <w:u w:val="none"/>
                <w:lang w:val="en-US" w:eastAsia="zh-CN" w:bidi="ar"/>
              </w:rPr>
              <w:t>意见</w:t>
            </w:r>
          </w:p>
        </w:tc>
        <w:tc>
          <w:tcPr>
            <w:tcW w:w="8344" w:type="dxa"/>
            <w:gridSpan w:val="5"/>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仿宋_GB2312" w:hAnsi="仿宋_GB2312" w:eastAsia="仿宋_GB2312" w:cs="仿宋_GB2312"/>
                <w:i w:val="0"/>
                <w:iCs w:val="0"/>
                <w:color w:val="000000"/>
                <w:sz w:val="22"/>
                <w:szCs w:val="22"/>
                <w:u w:val="none"/>
              </w:rPr>
            </w:pPr>
          </w:p>
        </w:tc>
      </w:tr>
      <w:tr>
        <w:tblPrEx>
          <w:tblCellMar>
            <w:top w:w="0" w:type="dxa"/>
            <w:left w:w="108" w:type="dxa"/>
            <w:bottom w:w="0" w:type="dxa"/>
            <w:right w:w="108" w:type="dxa"/>
          </w:tblCellMar>
        </w:tblPrEx>
        <w:trPr>
          <w:trHeight w:val="1528" w:hRule="atLeast"/>
          <w:jc w:val="center"/>
        </w:trPr>
        <w:tc>
          <w:tcPr>
            <w:tcW w:w="156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党政综合</w:t>
            </w:r>
          </w:p>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办公室</w:t>
            </w:r>
            <w:r>
              <w:rPr>
                <w:rFonts w:hint="eastAsia" w:ascii="仿宋_GB2312" w:hAnsi="仿宋_GB2312" w:eastAsia="仿宋_GB2312" w:cs="仿宋_GB2312"/>
                <w:i w:val="0"/>
                <w:iCs w:val="0"/>
                <w:color w:val="000000"/>
                <w:kern w:val="0"/>
                <w:sz w:val="24"/>
                <w:szCs w:val="24"/>
                <w:u w:val="none"/>
                <w:lang w:val="en-US" w:eastAsia="zh-CN" w:bidi="ar"/>
              </w:rPr>
              <w:br w:type="textWrapping"/>
            </w:r>
            <w:r>
              <w:rPr>
                <w:rFonts w:hint="eastAsia" w:ascii="仿宋_GB2312" w:hAnsi="仿宋_GB2312" w:eastAsia="仿宋_GB2312" w:cs="仿宋_GB2312"/>
                <w:i w:val="0"/>
                <w:iCs w:val="0"/>
                <w:color w:val="000000"/>
                <w:kern w:val="0"/>
                <w:sz w:val="24"/>
                <w:szCs w:val="24"/>
                <w:u w:val="none"/>
                <w:lang w:val="en-US" w:eastAsia="zh-CN" w:bidi="ar"/>
              </w:rPr>
              <w:t>意见</w:t>
            </w:r>
          </w:p>
        </w:tc>
        <w:tc>
          <w:tcPr>
            <w:tcW w:w="8344" w:type="dxa"/>
            <w:gridSpan w:val="5"/>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仿宋_GB2312" w:hAnsi="仿宋_GB2312" w:eastAsia="仿宋_GB2312" w:cs="仿宋_GB2312"/>
                <w:i w:val="0"/>
                <w:iCs w:val="0"/>
                <w:color w:val="000000"/>
                <w:sz w:val="22"/>
                <w:szCs w:val="22"/>
                <w:u w:val="none"/>
              </w:rPr>
            </w:pPr>
          </w:p>
        </w:tc>
      </w:tr>
      <w:tr>
        <w:tblPrEx>
          <w:tblCellMar>
            <w:top w:w="0" w:type="dxa"/>
            <w:left w:w="108" w:type="dxa"/>
            <w:bottom w:w="0" w:type="dxa"/>
            <w:right w:w="108" w:type="dxa"/>
          </w:tblCellMar>
        </w:tblPrEx>
        <w:trPr>
          <w:trHeight w:val="1294" w:hRule="atLeast"/>
          <w:jc w:val="center"/>
        </w:trPr>
        <w:tc>
          <w:tcPr>
            <w:tcW w:w="15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分管领导</w:t>
            </w:r>
          </w:p>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意见</w:t>
            </w:r>
          </w:p>
        </w:tc>
        <w:tc>
          <w:tcPr>
            <w:tcW w:w="8344" w:type="dxa"/>
            <w:gridSpan w:val="5"/>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仿宋_GB2312" w:hAnsi="仿宋_GB2312" w:eastAsia="仿宋_GB2312" w:cs="仿宋_GB2312"/>
                <w:i w:val="0"/>
                <w:iCs w:val="0"/>
                <w:color w:val="000000"/>
                <w:sz w:val="22"/>
                <w:szCs w:val="22"/>
                <w:u w:val="none"/>
              </w:rPr>
            </w:pPr>
          </w:p>
        </w:tc>
      </w:tr>
      <w:tr>
        <w:tblPrEx>
          <w:tblCellMar>
            <w:top w:w="0" w:type="dxa"/>
            <w:left w:w="108" w:type="dxa"/>
            <w:bottom w:w="0" w:type="dxa"/>
            <w:right w:w="108" w:type="dxa"/>
          </w:tblCellMar>
        </w:tblPrEx>
        <w:trPr>
          <w:trHeight w:val="1528" w:hRule="atLeast"/>
          <w:jc w:val="center"/>
        </w:trPr>
        <w:tc>
          <w:tcPr>
            <w:tcW w:w="15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主管领导</w:t>
            </w:r>
          </w:p>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意见</w:t>
            </w:r>
          </w:p>
        </w:tc>
        <w:tc>
          <w:tcPr>
            <w:tcW w:w="8344" w:type="dxa"/>
            <w:gridSpan w:val="5"/>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仿宋_GB2312" w:hAnsi="仿宋_GB2312" w:eastAsia="仿宋_GB2312" w:cs="仿宋_GB2312"/>
                <w:i w:val="0"/>
                <w:iCs w:val="0"/>
                <w:color w:val="000000"/>
                <w:sz w:val="22"/>
                <w:szCs w:val="22"/>
                <w:u w:val="none"/>
              </w:rPr>
            </w:pPr>
          </w:p>
        </w:tc>
      </w:tr>
      <w:tr>
        <w:tblPrEx>
          <w:tblCellMar>
            <w:top w:w="0" w:type="dxa"/>
            <w:left w:w="108" w:type="dxa"/>
            <w:bottom w:w="0" w:type="dxa"/>
            <w:right w:w="108" w:type="dxa"/>
          </w:tblCellMar>
        </w:tblPrEx>
        <w:trPr>
          <w:trHeight w:val="1520" w:hRule="atLeast"/>
          <w:jc w:val="center"/>
        </w:trPr>
        <w:tc>
          <w:tcPr>
            <w:tcW w:w="15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备注</w:t>
            </w:r>
          </w:p>
        </w:tc>
        <w:tc>
          <w:tcPr>
            <w:tcW w:w="8344" w:type="dxa"/>
            <w:gridSpan w:val="5"/>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仿宋_GB2312" w:hAnsi="仿宋_GB2312" w:eastAsia="仿宋_GB2312" w:cs="仿宋_GB2312"/>
                <w:i w:val="0"/>
                <w:iCs w:val="0"/>
                <w:color w:val="000000"/>
                <w:sz w:val="22"/>
                <w:szCs w:val="22"/>
                <w:u w:val="none"/>
              </w:rPr>
            </w:pPr>
          </w:p>
        </w:tc>
      </w:tr>
    </w:tbl>
    <w:p>
      <w:pPr>
        <w:keepNext w:val="0"/>
        <w:keepLines w:val="0"/>
        <w:pageBreakBefore w:val="0"/>
        <w:widowControl w:val="0"/>
        <w:kinsoku/>
        <w:wordWrap/>
        <w:overflowPunct/>
        <w:topLinePunct w:val="0"/>
        <w:autoSpaceDE/>
        <w:autoSpaceDN/>
        <w:bidi w:val="0"/>
        <w:adjustRightInd/>
        <w:snapToGrid/>
        <w:spacing w:line="20" w:lineRule="exact"/>
        <w:textAlignment w:val="auto"/>
        <w:rPr>
          <w:rFonts w:hint="default"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20" w:lineRule="exact"/>
        <w:textAlignment w:val="auto"/>
      </w:pPr>
    </w:p>
    <w:sectPr>
      <w:pgSz w:w="11906" w:h="16838"/>
      <w:pgMar w:top="1871" w:right="1587" w:bottom="1701" w:left="1587" w:header="851" w:footer="992" w:gutter="0"/>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大标宋简体">
    <w:panose1 w:val="02010601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7CB185C"/>
    <w:rsid w:val="37CB185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10</TotalTime>
  <ScaleCrop>false</ScaleCrop>
  <LinksUpToDate>false</LinksUpToDate>
  <CharactersWithSpaces>0</CharactersWithSpaces>
  <Application>WPS Office_11.1.0.10356_F1E327BC-269C-435d-A152-05C5408002CA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2021-04-08T01:22:00Z</dcterms:created>
  <dc:creator>不知道、、、</dc:creator>
  <cp:lastModifiedBy>不知道、、、</cp:lastModifiedBy>
  <cp:lastPrinted>2021-04-08T01:29:27Z</cp:lastPrinted>
  <dcterms:modified xsi:type="dcterms:W3CDTF">2021-04-08T01:39:28Z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ICV">
    <vt:lpwstr>DCBE67301022492A8D87F667B722B173</vt:lpwstr>
  </property>
  <property fmtid="{D5CDD505-2E9C-101B-9397-08002B2CF9AE}" pid="4" name="KSOSaveFontToCloudKey">
    <vt:lpwstr>499602820_btnclosed</vt:lpwstr>
  </property>
</Properties>
</file>