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adjustRightInd/>
        <w:snapToGrid/>
        <w:spacing w:after="0"/>
        <w:jc w:val="center"/>
        <w:rPr>
          <w:rFonts w:hint="eastAsia" w:ascii="微软雅黑" w:hAnsi="微软雅黑" w:cs="宋体"/>
          <w:color w:val="505050"/>
          <w:sz w:val="18"/>
          <w:szCs w:val="18"/>
        </w:rPr>
      </w:pPr>
      <w:r>
        <w:rPr>
          <w:rFonts w:hint="eastAsia" w:ascii="微软雅黑" w:hAnsi="微软雅黑" w:cs="宋体"/>
          <w:color w:val="505050"/>
          <w:sz w:val="36"/>
          <w:szCs w:val="36"/>
        </w:rPr>
        <w:t>政府投资项目可行性研究报告审批办理指南</w:t>
      </w:r>
    </w:p>
    <w:p>
      <w:pPr>
        <w:shd w:val="clear" w:color="auto" w:fill="FFFFFF"/>
        <w:adjustRightInd/>
        <w:snapToGrid/>
        <w:spacing w:after="0" w:line="420" w:lineRule="atLeast"/>
        <w:jc w:val="center"/>
        <w:rPr>
          <w:rFonts w:hint="eastAsia" w:ascii="微软雅黑" w:hAnsi="微软雅黑" w:cs="宋体"/>
          <w:color w:val="505050"/>
          <w:sz w:val="24"/>
          <w:szCs w:val="24"/>
        </w:rPr>
      </w:pPr>
      <w:r>
        <w:rPr>
          <w:rFonts w:hint="eastAsia" w:ascii="微软雅黑" w:hAnsi="微软雅黑" w:cs="宋体"/>
          <w:color w:val="505050"/>
          <w:sz w:val="15"/>
          <w:szCs w:val="15"/>
        </w:rPr>
        <w:t> </w:t>
      </w:r>
    </w:p>
    <w:tbl>
      <w:tblPr>
        <w:tblStyle w:val="2"/>
        <w:tblW w:w="10425" w:type="dxa"/>
        <w:tblInd w:w="-933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625"/>
        <w:gridCol w:w="780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6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办理事项名称</w:t>
            </w:r>
          </w:p>
        </w:tc>
        <w:tc>
          <w:tcPr>
            <w:tcW w:w="78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政府投资项目可行性研究报告审批（权限内）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26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办理对象</w:t>
            </w:r>
          </w:p>
        </w:tc>
        <w:tc>
          <w:tcPr>
            <w:tcW w:w="78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法人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6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事项类别</w:t>
            </w:r>
          </w:p>
        </w:tc>
        <w:tc>
          <w:tcPr>
            <w:tcW w:w="78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其他事项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6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法律及政府依据</w:t>
            </w:r>
          </w:p>
        </w:tc>
        <w:tc>
          <w:tcPr>
            <w:tcW w:w="78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《国务院关于投资体制改革的决定》</w:t>
            </w:r>
            <w:r>
              <w:rPr>
                <w:rFonts w:hint="eastAsia" w:ascii="微软雅黑" w:hAnsi="微软雅黑" w:cs="宋体"/>
                <w:sz w:val="24"/>
                <w:szCs w:val="24"/>
              </w:rPr>
              <w:t>(国发[2004]20号)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9" w:hRule="atLeast"/>
        </w:trPr>
        <w:tc>
          <w:tcPr>
            <w:tcW w:w="26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办理条件</w:t>
            </w:r>
          </w:p>
        </w:tc>
        <w:tc>
          <w:tcPr>
            <w:tcW w:w="78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/>
              <w:snapToGrid/>
              <w:spacing w:after="0" w:line="420" w:lineRule="atLeast"/>
              <w:rPr>
                <w:rFonts w:hint="eastAsia"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1、提供符合国规定内容和要求的可行性研究报告；</w:t>
            </w:r>
          </w:p>
          <w:p>
            <w:pPr>
              <w:adjustRightInd/>
              <w:snapToGrid/>
              <w:spacing w:after="0" w:line="420" w:lineRule="atLeast"/>
              <w:rPr>
                <w:rFonts w:hint="eastAsia"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2、取得规划部门出具的规划设计方案审查批准意见；</w:t>
            </w:r>
          </w:p>
          <w:p>
            <w:pPr>
              <w:adjustRightInd/>
              <w:snapToGrid/>
              <w:spacing w:after="0" w:line="420" w:lineRule="atLeast"/>
              <w:rPr>
                <w:rFonts w:hint="eastAsia"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3、政府投资以外的资金筹措平衡方案成熟；</w:t>
            </w:r>
          </w:p>
          <w:p>
            <w:pPr>
              <w:adjustRightInd/>
              <w:snapToGrid/>
              <w:spacing w:after="0" w:line="420" w:lineRule="atLeast"/>
              <w:rPr>
                <w:rFonts w:hint="eastAsia"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4、需项目所在地政府配套资金的建设项目</w:t>
            </w:r>
            <w:r>
              <w:rPr>
                <w:rFonts w:hint="eastAsia" w:ascii="微软雅黑" w:hAnsi="微软雅黑" w:cs="宋体"/>
                <w:sz w:val="24"/>
                <w:szCs w:val="24"/>
              </w:rPr>
              <w:t>,承诺资金已落实；</w:t>
            </w:r>
          </w:p>
          <w:p>
            <w:pPr>
              <w:adjustRightInd/>
              <w:snapToGrid/>
              <w:spacing w:after="0" w:line="420" w:lineRule="atLeast"/>
              <w:rPr>
                <w:rFonts w:hint="eastAsia"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5、重大政府投资项目通过专家评估；</w:t>
            </w:r>
          </w:p>
          <w:p>
            <w:pPr>
              <w:adjustRightInd/>
              <w:snapToGrid/>
              <w:spacing w:after="0" w:line="420" w:lineRule="atLeast"/>
              <w:rPr>
                <w:rFonts w:hint="eastAsia"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6、需征地的项目初步完成征地、拆迁安置方案；</w:t>
            </w:r>
          </w:p>
          <w:p>
            <w:pPr>
              <w:adjustRightInd/>
              <w:snapToGrid/>
              <w:spacing w:after="0" w:line="420" w:lineRule="atLeast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7、国家和省规定的其他审批条件。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4" w:hRule="atLeast"/>
        </w:trPr>
        <w:tc>
          <w:tcPr>
            <w:tcW w:w="26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申请人提交材料</w:t>
            </w:r>
          </w:p>
        </w:tc>
        <w:tc>
          <w:tcPr>
            <w:tcW w:w="78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/>
              <w:snapToGrid/>
              <w:spacing w:after="0" w:line="420" w:lineRule="atLeast"/>
              <w:rPr>
                <w:rFonts w:hint="eastAsia"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1.建设单位提交立项申请文件</w:t>
            </w:r>
            <w:r>
              <w:rPr>
                <w:rFonts w:hint="eastAsia" w:ascii="微软雅黑" w:hAnsi="微软雅黑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微软雅黑" w:hAnsi="微软雅黑" w:cs="宋体"/>
                <w:sz w:val="24"/>
                <w:szCs w:val="24"/>
              </w:rPr>
              <w:t>统一社会信用代码复印件</w:t>
            </w:r>
            <w:r>
              <w:rPr>
                <w:rFonts w:hint="eastAsia" w:ascii="微软雅黑" w:hAnsi="微软雅黑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微软雅黑" w:hAnsi="微软雅黑" w:cs="宋体"/>
                <w:sz w:val="24"/>
                <w:szCs w:val="24"/>
              </w:rPr>
              <w:t>法人、经办人身份证复印件、电话号码；</w:t>
            </w:r>
          </w:p>
          <w:p>
            <w:pPr>
              <w:adjustRightInd/>
              <w:snapToGrid/>
              <w:spacing w:after="0" w:line="420" w:lineRule="atLeast"/>
              <w:rPr>
                <w:rFonts w:hint="eastAsia"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2.对项目的真实性、合法性、完整性承诺；</w:t>
            </w:r>
          </w:p>
          <w:p>
            <w:pPr>
              <w:adjustRightInd/>
              <w:snapToGrid/>
              <w:spacing w:after="0" w:line="420" w:lineRule="atLeast"/>
              <w:rPr>
                <w:rFonts w:hint="eastAsia"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3.以申请单位出具红头申请文件；</w:t>
            </w:r>
          </w:p>
          <w:p>
            <w:pPr>
              <w:adjustRightInd/>
              <w:snapToGrid/>
              <w:spacing w:after="0" w:line="420" w:lineRule="atLeast"/>
              <w:rPr>
                <w:rFonts w:hint="eastAsia"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4.按国家规定内容和要求编制的项目可行性研究报告；</w:t>
            </w:r>
          </w:p>
          <w:p>
            <w:pPr>
              <w:adjustRightInd/>
              <w:snapToGrid/>
              <w:spacing w:after="0" w:line="420" w:lineRule="atLeast"/>
              <w:rPr>
                <w:rFonts w:hint="eastAsia"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5.以文物局出具的文物保护意见；</w:t>
            </w:r>
          </w:p>
          <w:p>
            <w:pPr>
              <w:adjustRightInd/>
              <w:snapToGrid/>
              <w:spacing w:after="0" w:line="420" w:lineRule="atLeast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6.国家和本省规定的其他申请材料。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26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办理流程</w:t>
            </w:r>
          </w:p>
        </w:tc>
        <w:tc>
          <w:tcPr>
            <w:tcW w:w="78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申请一受理一审查一决定一批复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26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办理时间</w:t>
            </w:r>
          </w:p>
        </w:tc>
        <w:tc>
          <w:tcPr>
            <w:tcW w:w="78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周一至周五（上午：</w:t>
            </w:r>
            <w:r>
              <w:rPr>
                <w:rFonts w:hint="eastAsia" w:ascii="微软雅黑" w:hAnsi="微软雅黑" w:cs="宋体"/>
                <w:sz w:val="24"/>
                <w:szCs w:val="24"/>
              </w:rPr>
              <w:t>8:00—12:00；下午：3:00—6:00）夏季</w:t>
            </w:r>
          </w:p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周一至周五（上午：</w:t>
            </w:r>
            <w:r>
              <w:rPr>
                <w:rFonts w:hint="eastAsia" w:ascii="微软雅黑" w:hAnsi="微软雅黑" w:cs="宋体"/>
                <w:sz w:val="24"/>
                <w:szCs w:val="24"/>
              </w:rPr>
              <w:t>8:00—12:00；下午：2:30—6:00）冬季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26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收费标准</w:t>
            </w:r>
          </w:p>
        </w:tc>
        <w:tc>
          <w:tcPr>
            <w:tcW w:w="78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不收费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26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办理机构</w:t>
            </w:r>
          </w:p>
        </w:tc>
        <w:tc>
          <w:tcPr>
            <w:tcW w:w="78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hint="default" w:ascii="微软雅黑" w:hAnsi="微软雅黑" w:eastAsia="微软雅黑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  <w:lang w:val="en-US" w:eastAsia="zh-CN"/>
              </w:rPr>
              <w:t>右玉县发展和改革局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26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办理地址</w:t>
            </w:r>
          </w:p>
        </w:tc>
        <w:tc>
          <w:tcPr>
            <w:tcW w:w="78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  <w:lang w:val="en-US" w:eastAsia="zh-CN"/>
              </w:rPr>
              <w:t>右玉县发展和改革局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26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联系方式</w:t>
            </w:r>
          </w:p>
        </w:tc>
        <w:tc>
          <w:tcPr>
            <w:tcW w:w="78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hint="default" w:ascii="微软雅黑" w:hAnsi="微软雅黑" w:eastAsia="微软雅黑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0349—</w:t>
            </w:r>
            <w:r>
              <w:rPr>
                <w:rFonts w:hint="eastAsia" w:ascii="微软雅黑" w:hAnsi="微软雅黑" w:cs="宋体"/>
                <w:sz w:val="24"/>
                <w:szCs w:val="24"/>
                <w:lang w:val="en-US" w:eastAsia="zh-CN"/>
              </w:rPr>
              <w:t>8022306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7" w:hRule="atLeast"/>
        </w:trPr>
        <w:tc>
          <w:tcPr>
            <w:tcW w:w="26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办理时限</w:t>
            </w:r>
          </w:p>
        </w:tc>
        <w:tc>
          <w:tcPr>
            <w:tcW w:w="78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/>
              <w:snapToGrid/>
              <w:spacing w:after="0" w:line="420" w:lineRule="atLeast"/>
              <w:jc w:val="both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收到申请材料后3个工作日内</w:t>
            </w:r>
            <w:r>
              <w:rPr>
                <w:rFonts w:hint="eastAsia" w:ascii="微软雅黑" w:hAnsi="微软雅黑" w:cs="宋体"/>
                <w:sz w:val="24"/>
                <w:szCs w:val="24"/>
              </w:rPr>
              <w:t>,一次性告知申请单位需要澄清、补充或完善的内容</w:t>
            </w:r>
            <w:r>
              <w:rPr>
                <w:rFonts w:hint="eastAsia" w:ascii="微软雅黑" w:hAnsi="微软雅黑" w:cs="宋体"/>
                <w:sz w:val="24"/>
                <w:szCs w:val="24"/>
              </w:rPr>
              <w:t>;自受理申请之日起20个</w:t>
            </w:r>
            <w:bookmarkStart w:id="0" w:name="_GoBack"/>
            <w:bookmarkEnd w:id="0"/>
            <w:r>
              <w:rPr>
                <w:rFonts w:hint="eastAsia" w:ascii="微软雅黑" w:hAnsi="微软雅黑" w:cs="宋体"/>
                <w:sz w:val="24"/>
                <w:szCs w:val="24"/>
              </w:rPr>
              <w:t>工作日作出审批决定(不含征求相关部门意见、专家评估论证及资金平衡时间</w:t>
            </w:r>
            <w:r>
              <w:rPr>
                <w:rFonts w:hint="eastAsia" w:ascii="微软雅黑" w:hAnsi="微软雅黑" w:cs="宋体"/>
                <w:sz w:val="24"/>
                <w:szCs w:val="24"/>
              </w:rPr>
              <w:t>);因特殊情况需要延长办理时限的</w:t>
            </w:r>
            <w:r>
              <w:rPr>
                <w:rFonts w:hint="eastAsia" w:ascii="微软雅黑" w:hAnsi="微软雅黑" w:cs="宋体"/>
                <w:sz w:val="24"/>
                <w:szCs w:val="24"/>
              </w:rPr>
              <w:t>,由本部门主要负责人批准,可以延长5个工作日。</w:t>
            </w:r>
          </w:p>
        </w:tc>
      </w:tr>
    </w:tbl>
    <w:p>
      <w:pPr>
        <w:spacing w:line="220" w:lineRule="atLeast"/>
      </w:pPr>
    </w:p>
    <w:sectPr>
      <w:pgSz w:w="11906" w:h="16838"/>
      <w:pgMar w:top="1100" w:right="1800" w:bottom="110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467538"/>
    <w:rsid w:val="00767067"/>
    <w:rsid w:val="008B7726"/>
    <w:rsid w:val="00D31D50"/>
    <w:rsid w:val="2029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118</Words>
  <Characters>673</Characters>
  <Lines>5</Lines>
  <Paragraphs>1</Paragraphs>
  <TotalTime>3</TotalTime>
  <ScaleCrop>false</ScaleCrop>
  <LinksUpToDate>false</LinksUpToDate>
  <CharactersWithSpaces>790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Lenovo</dc:creator>
  <cp:lastModifiedBy>_______struggle゛懵懂ッ </cp:lastModifiedBy>
  <dcterms:modified xsi:type="dcterms:W3CDTF">2021-12-21T09:35:22Z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61D2523BE354470CA070BC30133EBB1B</vt:lpwstr>
  </property>
</Properties>
</file>