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黑体" w:hAnsi="黑体" w:eastAsia="黑体" w:cs="黑体"/>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黑体" w:hAnsi="黑体" w:eastAsia="黑体" w:cs="黑体"/>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黑体" w:hAnsi="黑体" w:eastAsia="黑体" w:cs="黑体"/>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黑体" w:hAnsi="黑体" w:eastAsia="黑体" w:cs="黑体"/>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黑体" w:hAnsi="黑体" w:eastAsia="黑体" w:cs="黑体"/>
          <w:b w:val="0"/>
          <w:bCs w:val="0"/>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ind w:left="0" w:leftChars="0"/>
        <w:jc w:val="center"/>
        <w:textAlignment w:val="auto"/>
        <w:rPr>
          <w:rFonts w:hint="eastAsia" w:ascii="黑体" w:hAnsi="黑体" w:eastAsia="黑体" w:cs="黑体"/>
          <w:b w:val="0"/>
          <w:bCs w:val="0"/>
          <w:color w:val="000000"/>
          <w:sz w:val="32"/>
          <w:szCs w:val="32"/>
          <w:lang w:val="en-US" w:eastAsia="zh-CN"/>
        </w:rPr>
      </w:pPr>
    </w:p>
    <w:p>
      <w:pPr>
        <w:pStyle w:val="2"/>
        <w:rPr>
          <w:rFonts w:hint="eastAsia" w:ascii="黑体" w:hAnsi="黑体" w:eastAsia="黑体" w:cs="黑体"/>
          <w:b w:val="0"/>
          <w:bCs w:val="0"/>
          <w:color w:val="000000"/>
          <w:sz w:val="32"/>
          <w:szCs w:val="32"/>
          <w:lang w:val="en-US" w:eastAsia="zh-CN"/>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右政发〔2021〕18号</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ascii="黑体" w:hAnsi="黑体" w:eastAsia="黑体" w:cs="黑体"/>
          <w:b/>
          <w:bCs/>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右玉县人民政府</w:t>
      </w: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关于印发《右玉县2021年</w:t>
      </w:r>
      <w:r>
        <w:rPr>
          <w:rFonts w:hint="eastAsia" w:ascii="方正小标宋简体" w:hAnsi="方正小标宋简体" w:eastAsia="方正小标宋简体" w:cs="方正小标宋简体"/>
          <w:b w:val="0"/>
          <w:bCs w:val="0"/>
          <w:sz w:val="44"/>
          <w:szCs w:val="44"/>
        </w:rPr>
        <w:t>整合财政资金</w:t>
      </w:r>
      <w:r>
        <w:rPr>
          <w:rFonts w:hint="eastAsia" w:ascii="方正小标宋简体" w:hAnsi="方正小标宋简体" w:eastAsia="方正小标宋简体" w:cs="方正小标宋简体"/>
          <w:b w:val="0"/>
          <w:bCs w:val="0"/>
          <w:color w:val="000000"/>
          <w:sz w:val="44"/>
          <w:szCs w:val="44"/>
          <w:lang w:val="en-US" w:eastAsia="zh-CN"/>
        </w:rPr>
        <w:t>衔接</w:t>
      </w: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推进乡村振兴实施方案》的通知</w:t>
      </w:r>
    </w:p>
    <w:p>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ascii="黑体" w:hAnsi="黑体" w:eastAsia="黑体" w:cs="黑体"/>
          <w:color w:val="0000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各乡镇、杀虎口风景名胜区，县委农村工作领导小组各成员单位：</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color w:val="000000"/>
          <w:sz w:val="32"/>
          <w:szCs w:val="32"/>
          <w:lang w:val="en-US" w:eastAsia="zh-CN"/>
        </w:rPr>
        <w:t>右玉县2021年</w:t>
      </w:r>
      <w:r>
        <w:rPr>
          <w:rFonts w:hint="eastAsia" w:ascii="仿宋_GB2312" w:hAnsi="仿宋_GB2312" w:eastAsia="仿宋_GB2312" w:cs="仿宋_GB2312"/>
          <w:b w:val="0"/>
          <w:bCs w:val="0"/>
          <w:sz w:val="32"/>
          <w:szCs w:val="32"/>
        </w:rPr>
        <w:t>整合财政资金</w:t>
      </w:r>
      <w:r>
        <w:rPr>
          <w:rFonts w:hint="eastAsia" w:ascii="仿宋_GB2312" w:hAnsi="仿宋_GB2312" w:eastAsia="仿宋_GB2312" w:cs="仿宋_GB2312"/>
          <w:b w:val="0"/>
          <w:bCs w:val="0"/>
          <w:color w:val="000000"/>
          <w:sz w:val="32"/>
          <w:szCs w:val="32"/>
          <w:lang w:val="en-US" w:eastAsia="zh-CN"/>
        </w:rPr>
        <w:t>衔接推进乡村振兴实施方案</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sz w:val="32"/>
          <w:szCs w:val="32"/>
          <w:lang w:val="en-US" w:eastAsia="zh-CN"/>
        </w:rPr>
        <w:t>已经县政府常务会议研究通过，现印发给你们，请认真抓好贯彻落实。</w:t>
      </w:r>
    </w:p>
    <w:p>
      <w:pPr>
        <w:keepNext w:val="0"/>
        <w:keepLines w:val="0"/>
        <w:pageBreakBefore w:val="0"/>
        <w:widowControl w:val="0"/>
        <w:kinsoku/>
        <w:wordWrap/>
        <w:overflowPunct/>
        <w:topLinePunct w:val="0"/>
        <w:autoSpaceDE/>
        <w:autoSpaceDN/>
        <w:bidi w:val="0"/>
        <w:adjustRightInd/>
        <w:snapToGrid/>
        <w:spacing w:line="620" w:lineRule="exact"/>
        <w:ind w:left="1918" w:leftChars="304" w:hanging="1280" w:hangingChars="4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324" w:beforeLines="100" w:line="620" w:lineRule="exact"/>
        <w:ind w:left="0" w:leftChars="0" w:firstLine="640" w:firstLineChars="20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右玉县人民政府</w:t>
      </w:r>
    </w:p>
    <w:p>
      <w:pPr>
        <w:keepNext w:val="0"/>
        <w:keepLines w:val="0"/>
        <w:pageBreakBefore w:val="0"/>
        <w:widowControl w:val="0"/>
        <w:kinsoku/>
        <w:wordWrap/>
        <w:overflowPunct/>
        <w:topLinePunct w:val="0"/>
        <w:autoSpaceDE/>
        <w:autoSpaceDN/>
        <w:bidi w:val="0"/>
        <w:adjustRightInd/>
        <w:snapToGrid/>
        <w:spacing w:line="620" w:lineRule="exact"/>
        <w:ind w:firstLine="5440" w:firstLineChars="1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2021年6月29日</w:t>
      </w:r>
    </w:p>
    <w:p>
      <w:pPr>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jc w:val="center"/>
        <w:textAlignment w:val="auto"/>
        <w:rPr>
          <w:rFonts w:hint="eastAsia" w:ascii="方正小标宋简体" w:hAnsi="方正小标宋简体" w:eastAsia="方正小标宋简体" w:cs="方正小标宋简体"/>
          <w:b w:val="0"/>
          <w:bCs w:val="0"/>
          <w:color w:val="000000"/>
          <w:kern w:val="2"/>
          <w:sz w:val="44"/>
          <w:szCs w:val="44"/>
          <w:lang w:val="en-US" w:eastAsia="zh-CN" w:bidi="th-TH"/>
        </w:rPr>
      </w:pPr>
      <w:r>
        <w:rPr>
          <w:rFonts w:hint="eastAsia" w:ascii="方正小标宋简体" w:hAnsi="方正小标宋简体" w:eastAsia="方正小标宋简体" w:cs="方正小标宋简体"/>
          <w:b w:val="0"/>
          <w:bCs w:val="0"/>
          <w:color w:val="000000"/>
          <w:kern w:val="2"/>
          <w:sz w:val="44"/>
          <w:szCs w:val="44"/>
          <w:lang w:val="en-US" w:eastAsia="zh-CN" w:bidi="th-TH"/>
        </w:rPr>
        <w:t>右玉县2021年整合财政资金衔接推进乡村振兴实施方案</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 w:hAnsi="仿宋" w:eastAsia="仿宋"/>
          <w:sz w:val="32"/>
          <w:szCs w:val="32"/>
          <w:highlight w:val="none"/>
          <w:lang w:val="en-US" w:eastAsia="zh-CN"/>
        </w:rPr>
        <w:t>今年是“三农”工作重心发生历史性转移之年，为</w:t>
      </w:r>
      <w:r>
        <w:rPr>
          <w:rFonts w:hint="eastAsia" w:ascii="仿宋_GB2312" w:hAnsi="仿宋_GB2312" w:eastAsia="仿宋_GB2312" w:cs="仿宋_GB2312"/>
          <w:sz w:val="32"/>
          <w:szCs w:val="32"/>
          <w:lang w:val="en-US" w:eastAsia="zh-CN"/>
        </w:rPr>
        <w:t>发挥整合资金效应，全面推进巩固拓展脱贫攻坚成果有效衔接乡村振兴,按照继续支持脱贫攻坚统筹整合财政涉农资金与有效衔接乡村振兴任务相匹配的有关要求，</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val="en-US" w:eastAsia="zh-CN"/>
        </w:rPr>
        <w:t>我县</w:t>
      </w:r>
      <w:r>
        <w:rPr>
          <w:rFonts w:hint="eastAsia" w:ascii="仿宋_GB2312" w:hAnsi="仿宋_GB2312" w:eastAsia="仿宋_GB2312" w:cs="仿宋_GB2312"/>
          <w:sz w:val="32"/>
          <w:szCs w:val="32"/>
        </w:rPr>
        <w:t>实际，制定本方案。</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一、指导思想</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以习近平新时代中国特色社会主义思想为指导，深入贯彻2021年中央1号文件</w:t>
      </w:r>
      <w:r>
        <w:rPr>
          <w:rFonts w:hint="eastAsia" w:ascii="仿宋_GB2312" w:hAnsi="仿宋_GB2312" w:eastAsia="仿宋_GB2312" w:cs="仿宋_GB2312"/>
          <w:sz w:val="32"/>
          <w:szCs w:val="32"/>
          <w:lang w:eastAsia="zh-CN"/>
        </w:rPr>
        <w:t>精神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按照“突出重点、兼顾一般、注重绩效、保证用途”的原则，以夯实农业农村基础为重点，以提高资金使用绩效为目标，以健全完善资金分配机制为保障，以</w:t>
      </w:r>
      <w:r>
        <w:rPr>
          <w:rFonts w:hint="eastAsia" w:ascii="仿宋_GB2312" w:hAnsi="仿宋_GB2312" w:eastAsia="仿宋_GB2312" w:cs="仿宋_GB2312"/>
          <w:sz w:val="32"/>
          <w:szCs w:val="32"/>
          <w:lang w:val="en-US" w:eastAsia="zh-CN"/>
        </w:rPr>
        <w:t>直接补贴和</w:t>
      </w:r>
      <w:r>
        <w:rPr>
          <w:rFonts w:hint="eastAsia" w:ascii="仿宋_GB2312" w:hAnsi="仿宋_GB2312" w:eastAsia="仿宋_GB2312" w:cs="仿宋_GB2312"/>
          <w:sz w:val="32"/>
          <w:szCs w:val="32"/>
        </w:rPr>
        <w:t>以奖代补</w:t>
      </w:r>
      <w:r>
        <w:rPr>
          <w:rFonts w:hint="eastAsia" w:ascii="仿宋_GB2312" w:hAnsi="仿宋_GB2312" w:eastAsia="仿宋_GB2312" w:cs="仿宋_GB2312"/>
          <w:sz w:val="32"/>
          <w:szCs w:val="32"/>
          <w:lang w:eastAsia="zh-CN"/>
        </w:rPr>
        <w:t>为主要</w:t>
      </w:r>
      <w:r>
        <w:rPr>
          <w:rFonts w:hint="eastAsia" w:ascii="仿宋_GB2312" w:hAnsi="仿宋_GB2312" w:eastAsia="仿宋_GB2312" w:cs="仿宋_GB2312"/>
          <w:sz w:val="32"/>
          <w:szCs w:val="32"/>
        </w:rPr>
        <w:t>方式，</w:t>
      </w:r>
      <w:r>
        <w:rPr>
          <w:rFonts w:hint="eastAsia" w:ascii="仿宋_GB2312" w:hAnsi="仿宋_GB2312" w:eastAsia="仿宋_GB2312" w:cs="仿宋_GB2312"/>
          <w:sz w:val="32"/>
          <w:szCs w:val="32"/>
          <w:lang w:eastAsia="zh-CN"/>
        </w:rPr>
        <w:t>科学合理分配使用</w:t>
      </w:r>
      <w:r>
        <w:rPr>
          <w:rFonts w:hint="eastAsia" w:ascii="仿宋_GB2312" w:hAnsi="仿宋_GB2312" w:eastAsia="仿宋_GB2312" w:cs="仿宋_GB2312"/>
          <w:sz w:val="32"/>
          <w:szCs w:val="32"/>
          <w:lang w:val="en-US" w:eastAsia="zh-CN"/>
        </w:rPr>
        <w:t>2021年衔接推进乡村振兴整合资金，全力推动巩固拓展脱贫攻坚有效衔接乡村振兴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加快</w:t>
      </w:r>
      <w:r>
        <w:rPr>
          <w:rFonts w:hint="eastAsia" w:ascii="仿宋_GB2312" w:hAnsi="仿宋_GB2312" w:eastAsia="仿宋_GB2312" w:cs="仿宋_GB2312"/>
          <w:sz w:val="32"/>
          <w:szCs w:val="32"/>
          <w:lang w:val="en-US" w:eastAsia="zh-CN"/>
        </w:rPr>
        <w:t>构建</w:t>
      </w:r>
      <w:r>
        <w:rPr>
          <w:rFonts w:hint="eastAsia" w:ascii="仿宋_GB2312" w:hAnsi="仿宋_GB2312" w:eastAsia="仿宋_GB2312" w:cs="仿宋_GB2312"/>
          <w:sz w:val="32"/>
          <w:szCs w:val="32"/>
        </w:rPr>
        <w:t>先进农业生产力、资源环境承载力与农民美好生活需求相匹配的乡村发展新格局</w:t>
      </w:r>
      <w:r>
        <w:rPr>
          <w:rFonts w:hint="eastAsia" w:ascii="仿宋_GB2312" w:hAnsi="仿宋_GB2312" w:eastAsia="仿宋_GB2312" w:cs="仿宋_GB2312"/>
          <w:sz w:val="32"/>
          <w:szCs w:val="32"/>
          <w:lang w:eastAsia="zh-CN"/>
        </w:rPr>
        <w:t>，为在更高起点更高质量上推动右玉绿色发展奠定更加坚实的基础。</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目标任务</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探索形成科学合理、高效公正、充满活力的</w:t>
      </w:r>
      <w:r>
        <w:rPr>
          <w:rFonts w:hint="eastAsia" w:ascii="仿宋_GB2312" w:hAnsi="仿宋_GB2312" w:eastAsia="仿宋_GB2312" w:cs="仿宋_GB2312"/>
          <w:sz w:val="32"/>
          <w:szCs w:val="32"/>
          <w:lang w:val="en-US" w:eastAsia="zh-CN"/>
        </w:rPr>
        <w:t>整合资金</w:t>
      </w:r>
      <w:r>
        <w:rPr>
          <w:rFonts w:hint="eastAsia" w:ascii="仿宋_GB2312" w:hAnsi="仿宋_GB2312" w:eastAsia="仿宋_GB2312" w:cs="仿宋_GB2312"/>
          <w:sz w:val="32"/>
          <w:szCs w:val="32"/>
          <w:lang w:eastAsia="zh-CN"/>
        </w:rPr>
        <w:t>竞争性分配机制。</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扎实推进</w:t>
      </w:r>
      <w:r>
        <w:rPr>
          <w:rFonts w:hint="eastAsia" w:ascii="仿宋_GB2312" w:hAnsi="仿宋_GB2312" w:eastAsia="仿宋_GB2312" w:cs="仿宋_GB2312"/>
          <w:sz w:val="32"/>
          <w:szCs w:val="32"/>
          <w:lang w:val="en-US" w:eastAsia="zh-CN"/>
        </w:rPr>
        <w:t>巩固拓展脱贫攻坚成果有效衔接乡村振兴工作。通过该资金投入，</w:t>
      </w:r>
      <w:r>
        <w:rPr>
          <w:rFonts w:hint="eastAsia" w:ascii="仿宋_GB2312" w:hAnsi="仿宋_GB2312" w:eastAsia="仿宋_GB2312" w:cs="仿宋_GB2312"/>
          <w:sz w:val="32"/>
          <w:szCs w:val="32"/>
        </w:rPr>
        <w:t>巩固</w:t>
      </w:r>
      <w:r>
        <w:rPr>
          <w:rFonts w:hint="eastAsia" w:ascii="仿宋_GB2312" w:hAnsi="仿宋_GB2312" w:eastAsia="仿宋_GB2312" w:cs="仿宋_GB2312"/>
          <w:sz w:val="32"/>
          <w:szCs w:val="32"/>
          <w:lang w:eastAsia="zh-CN"/>
        </w:rPr>
        <w:t>提升</w:t>
      </w:r>
      <w:r>
        <w:rPr>
          <w:rFonts w:hint="eastAsia" w:ascii="仿宋_GB2312" w:hAnsi="仿宋_GB2312" w:eastAsia="仿宋_GB2312" w:cs="仿宋_GB2312"/>
          <w:sz w:val="32"/>
          <w:szCs w:val="32"/>
        </w:rPr>
        <w:t>脱贫攻坚成果</w:t>
      </w:r>
      <w:r>
        <w:rPr>
          <w:rFonts w:hint="eastAsia" w:ascii="仿宋_GB2312" w:hAnsi="仿宋_GB2312" w:eastAsia="仿宋_GB2312" w:cs="仿宋_GB2312"/>
          <w:sz w:val="32"/>
          <w:szCs w:val="32"/>
          <w:lang w:eastAsia="zh-CN"/>
        </w:rPr>
        <w:t>，守牢不发生规模性返贫底线；促进</w:t>
      </w:r>
      <w:r>
        <w:rPr>
          <w:rFonts w:hint="eastAsia" w:ascii="仿宋_GB2312" w:hAnsi="仿宋_GB2312" w:eastAsia="仿宋_GB2312" w:cs="仿宋_GB2312"/>
          <w:sz w:val="32"/>
          <w:szCs w:val="32"/>
        </w:rPr>
        <w:t>农业基础产业有序发展，</w:t>
      </w:r>
      <w:r>
        <w:rPr>
          <w:rFonts w:hint="eastAsia" w:ascii="仿宋_GB2312" w:hAnsi="仿宋_GB2312" w:eastAsia="仿宋_GB2312" w:cs="仿宋_GB2312"/>
          <w:sz w:val="32"/>
          <w:szCs w:val="32"/>
          <w:lang w:eastAsia="zh-CN"/>
        </w:rPr>
        <w:t>增强</w:t>
      </w:r>
      <w:r>
        <w:rPr>
          <w:rFonts w:hint="eastAsia" w:ascii="仿宋_GB2312" w:hAnsi="仿宋_GB2312" w:eastAsia="仿宋_GB2312" w:cs="仿宋_GB2312"/>
          <w:sz w:val="32"/>
          <w:szCs w:val="32"/>
          <w:lang w:val="en-US" w:eastAsia="zh-CN"/>
        </w:rPr>
        <w:t>主导产业、龙头企业和种养</w:t>
      </w:r>
      <w:r>
        <w:rPr>
          <w:rFonts w:hint="eastAsia" w:ascii="仿宋_GB2312" w:hAnsi="仿宋_GB2312" w:eastAsia="仿宋_GB2312" w:cs="仿宋_GB2312"/>
          <w:sz w:val="32"/>
          <w:szCs w:val="32"/>
        </w:rPr>
        <w:t>专业合作社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含大户</w:t>
      </w:r>
      <w:r>
        <w:rPr>
          <w:rFonts w:hint="eastAsia" w:ascii="仿宋_GB2312" w:hAnsi="仿宋_GB2312" w:eastAsia="仿宋_GB2312" w:cs="仿宋_GB2312"/>
          <w:sz w:val="32"/>
          <w:szCs w:val="32"/>
          <w:lang w:eastAsia="zh-CN"/>
        </w:rPr>
        <w:t>）</w:t>
      </w:r>
      <w:r>
        <w:rPr>
          <w:rFonts w:hint="eastAsia" w:ascii="仿宋_GB2312" w:eastAsia="仿宋_GB2312"/>
          <w:color w:val="000000"/>
          <w:sz w:val="32"/>
          <w:szCs w:val="32"/>
          <w:lang w:val="en-US" w:eastAsia="zh-CN"/>
        </w:rPr>
        <w:t>持续</w:t>
      </w:r>
      <w:r>
        <w:rPr>
          <w:rFonts w:hint="eastAsia" w:ascii="仿宋_GB2312" w:hAnsi="仿宋_GB2312" w:eastAsia="仿宋_GB2312" w:cs="仿宋_GB2312"/>
          <w:sz w:val="32"/>
          <w:szCs w:val="32"/>
        </w:rPr>
        <w:t>带动农民增收</w:t>
      </w:r>
      <w:r>
        <w:rPr>
          <w:rFonts w:hint="eastAsia" w:ascii="仿宋_GB2312" w:hAnsi="仿宋_GB2312" w:eastAsia="仿宋_GB2312" w:cs="仿宋_GB2312"/>
          <w:sz w:val="32"/>
          <w:szCs w:val="32"/>
          <w:lang w:eastAsia="zh-CN"/>
        </w:rPr>
        <w:t>能力；助力</w:t>
      </w:r>
      <w:r>
        <w:rPr>
          <w:rFonts w:hint="eastAsia" w:ascii="仿宋_GB2312" w:hAnsi="仿宋_GB2312" w:eastAsia="仿宋_GB2312" w:cs="仿宋_GB2312"/>
          <w:sz w:val="32"/>
          <w:szCs w:val="32"/>
        </w:rPr>
        <w:t>农村人居环境整治，</w:t>
      </w:r>
      <w:r>
        <w:rPr>
          <w:rFonts w:hint="eastAsia" w:ascii="仿宋_GB2312" w:hAnsi="仿宋_GB2312" w:eastAsia="仿宋_GB2312" w:cs="仿宋_GB2312"/>
          <w:sz w:val="32"/>
          <w:szCs w:val="32"/>
          <w:lang w:eastAsia="zh-CN"/>
        </w:rPr>
        <w:t>推进</w:t>
      </w:r>
      <w:r>
        <w:rPr>
          <w:rFonts w:hint="eastAsia" w:ascii="仿宋_GB2312" w:hAnsi="仿宋_GB2312" w:eastAsia="仿宋_GB2312" w:cs="仿宋_GB2312"/>
          <w:sz w:val="32"/>
          <w:szCs w:val="32"/>
        </w:rPr>
        <w:t>山清水秀、天蓝地绿、村美人和、宜居宜业宜游美丽乡村</w:t>
      </w:r>
      <w:r>
        <w:rPr>
          <w:rFonts w:hint="eastAsia" w:ascii="仿宋_GB2312" w:hAnsi="仿宋_GB2312" w:eastAsia="仿宋_GB2312" w:cs="仿宋_GB2312"/>
          <w:sz w:val="32"/>
          <w:szCs w:val="32"/>
          <w:lang w:eastAsia="zh-CN"/>
        </w:rPr>
        <w:t>建设。</w:t>
      </w:r>
    </w:p>
    <w:p>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确保资金安全、高效、精准使用，每一分资金都能“用在刀刃上”，筑起资金挪用、滥用风险的第一道防线，显著提升全县各乡村和有关部门对财政整合资金分配的满意度和农村居民的获得感、幸福感。</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三、基本原则</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ascii="楷体_GB2312" w:hAnsi="宋体" w:eastAsia="楷体_GB2312" w:cs="宋体"/>
          <w:b/>
          <w:color w:val="000000"/>
          <w:kern w:val="0"/>
          <w:sz w:val="32"/>
          <w:szCs w:val="32"/>
        </w:rPr>
      </w:pPr>
      <w:r>
        <w:rPr>
          <w:rFonts w:hint="eastAsia" w:ascii="楷体_GB2312" w:hAnsi="楷体_GB2312" w:eastAsia="楷体_GB2312" w:cs="楷体_GB2312"/>
          <w:sz w:val="32"/>
          <w:szCs w:val="32"/>
          <w:lang w:val="en-US" w:eastAsia="zh-CN"/>
        </w:rPr>
        <w:t>坚持实事求是。</w:t>
      </w:r>
      <w:r>
        <w:rPr>
          <w:rFonts w:hint="eastAsia" w:ascii="仿宋_GB2312" w:hAnsi="仿宋_GB2312" w:eastAsia="仿宋_GB2312" w:cs="仿宋_GB2312"/>
          <w:sz w:val="32"/>
          <w:szCs w:val="32"/>
          <w:lang w:val="en-US" w:eastAsia="zh-CN"/>
        </w:rPr>
        <w:t>各扶持</w:t>
      </w:r>
      <w:r>
        <w:rPr>
          <w:rFonts w:hint="eastAsia" w:ascii="仿宋_GB2312" w:hAnsi="仿宋_GB2312" w:eastAsia="仿宋_GB2312" w:cs="仿宋_GB2312"/>
          <w:sz w:val="32"/>
          <w:szCs w:val="32"/>
          <w:lang w:eastAsia="zh-CN"/>
        </w:rPr>
        <w:t>主体</w:t>
      </w:r>
      <w:r>
        <w:rPr>
          <w:rFonts w:hint="eastAsia" w:ascii="仿宋_GB2312" w:hAnsi="仿宋_GB2312" w:eastAsia="仿宋_GB2312" w:cs="仿宋_GB2312"/>
          <w:sz w:val="32"/>
          <w:szCs w:val="32"/>
          <w:lang w:val="en-US" w:eastAsia="zh-CN"/>
        </w:rPr>
        <w:t>要讲诚信，客观实际地申报项目资金，严禁以弄虚作假手段骗取扶持项目资金。</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部门要认真摸底</w:t>
      </w:r>
      <w:r>
        <w:rPr>
          <w:rFonts w:hint="eastAsia" w:ascii="仿宋_GB2312" w:hAnsi="仿宋_GB2312" w:eastAsia="仿宋_GB2312" w:cs="仿宋_GB2312"/>
          <w:sz w:val="32"/>
          <w:szCs w:val="32"/>
          <w:lang w:val="en-US" w:eastAsia="zh-CN"/>
        </w:rPr>
        <w:t>评估，</w:t>
      </w:r>
      <w:r>
        <w:rPr>
          <w:rFonts w:hint="eastAsia" w:ascii="仿宋_GB2312" w:hAnsi="仿宋_GB2312" w:eastAsia="仿宋_GB2312" w:cs="仿宋_GB2312"/>
          <w:sz w:val="32"/>
          <w:szCs w:val="32"/>
        </w:rPr>
        <w:t>确保</w:t>
      </w:r>
      <w:r>
        <w:rPr>
          <w:rFonts w:hint="eastAsia" w:ascii="仿宋_GB2312" w:hAnsi="仿宋_GB2312" w:eastAsia="仿宋_GB2312" w:cs="仿宋_GB2312"/>
          <w:sz w:val="32"/>
          <w:szCs w:val="32"/>
          <w:lang w:val="en-US" w:eastAsia="zh-CN"/>
        </w:rPr>
        <w:t>各项基础数据详实准确</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强化联审联查</w:t>
      </w:r>
      <w:r>
        <w:rPr>
          <w:rFonts w:hint="eastAsia" w:ascii="楷体_GB2312" w:hAnsi="楷体_GB2312" w:eastAsia="楷体_GB2312" w:cs="楷体_GB2312"/>
          <w:sz w:val="32"/>
          <w:szCs w:val="32"/>
          <w:lang w:eastAsia="zh-CN"/>
        </w:rPr>
        <w:t>。</w:t>
      </w:r>
      <w:r>
        <w:rPr>
          <w:rFonts w:hint="eastAsia" w:ascii="仿宋_GB2312" w:hAnsi="仿宋_GB2312" w:eastAsia="仿宋_GB2312" w:cs="仿宋_GB2312"/>
          <w:sz w:val="32"/>
          <w:szCs w:val="32"/>
          <w:highlight w:val="none"/>
          <w:lang w:val="en-US" w:eastAsia="zh-CN"/>
        </w:rPr>
        <w:t>乡村两级要对辖区内享受补贴和奖励的主体进行推荐，</w:t>
      </w:r>
      <w:r>
        <w:rPr>
          <w:rFonts w:hint="eastAsia" w:ascii="仿宋_GB2312" w:hAnsi="仿宋_GB2312" w:eastAsia="仿宋_GB2312" w:cs="仿宋_GB2312"/>
          <w:sz w:val="32"/>
          <w:szCs w:val="32"/>
          <w:lang w:val="en-US" w:eastAsia="zh-CN"/>
        </w:rPr>
        <w:t>农业农村部门要</w:t>
      </w:r>
      <w:r>
        <w:rPr>
          <w:rFonts w:hint="eastAsia" w:ascii="仿宋_GB2312" w:hAnsi="仿宋_GB2312" w:eastAsia="仿宋_GB2312" w:cs="仿宋_GB2312"/>
          <w:sz w:val="32"/>
          <w:szCs w:val="32"/>
        </w:rPr>
        <w:t>深入</w:t>
      </w:r>
      <w:r>
        <w:rPr>
          <w:rFonts w:hint="eastAsia" w:ascii="仿宋_GB2312" w:hAnsi="仿宋_GB2312" w:eastAsia="仿宋_GB2312" w:cs="仿宋_GB2312"/>
          <w:sz w:val="32"/>
          <w:szCs w:val="32"/>
          <w:lang w:val="en-US" w:eastAsia="zh-CN"/>
        </w:rPr>
        <w:t>实地对其生产经营状况调查摸底，乡村振兴部门要对其带动效应进行调查审核。在此基础上，要组建督查组对享受奖补资金的主体进行核实，切实做到准入门槛严，审核把关紧，应补尽补。</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突出普惠实效。</w:t>
      </w:r>
      <w:r>
        <w:rPr>
          <w:rFonts w:hint="eastAsia" w:ascii="仿宋_GB2312" w:hAnsi="仿宋_GB2312" w:eastAsia="仿宋_GB2312" w:cs="仿宋_GB2312"/>
          <w:sz w:val="32"/>
          <w:szCs w:val="32"/>
          <w:lang w:val="en-US" w:eastAsia="zh-CN"/>
        </w:rPr>
        <w:t>补贴奖励资金要突出普惠性，让更多主体受益发展，杜绝重复补贴奖励。特别是种养专业合作社（含大户）只能在种养专项补助或者合作社（大户）奖励中享受一项。</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val="en-US" w:eastAsia="zh-CN"/>
        </w:rPr>
        <w:t>严格资金拨付。</w:t>
      </w:r>
      <w:r>
        <w:rPr>
          <w:rFonts w:hint="eastAsia" w:ascii="仿宋_GB2312" w:hAnsi="仿宋_GB2312" w:eastAsia="仿宋_GB2312" w:cs="仿宋_GB2312"/>
          <w:sz w:val="32"/>
          <w:szCs w:val="32"/>
          <w:lang w:val="en-US" w:eastAsia="zh-CN"/>
        </w:rPr>
        <w:t>奖补资金要从申报审核通过之日起，经督查组综合分析研判后，牵头单位根据实际情况分阶段拨付，保证项目能够如期启动实施、建设运营、投产达效，最大化地发挥带动效应</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做好统筹使用。</w:t>
      </w:r>
      <w:r>
        <w:rPr>
          <w:rFonts w:hint="eastAsia" w:ascii="仿宋_GB2312" w:hAnsi="仿宋_GB2312" w:eastAsia="仿宋_GB2312" w:cs="仿宋_GB2312"/>
          <w:sz w:val="32"/>
          <w:szCs w:val="32"/>
          <w:lang w:val="en-US" w:eastAsia="zh-CN"/>
        </w:rPr>
        <w:t>安排用于支持巩固拓展脱贫攻坚成果、支持衔接推进乡村振兴、巩固拓展脱贫攻坚成果同乡村振兴有效衔接其他相关支出三个方面的资金，在确保产业占比和对非贫困村资金占比符合要求的基础上统筹使用。</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四、资金安排计划</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宋体" w:eastAsia="仿宋_GB2312"/>
          <w:color w:val="000000" w:themeColor="text1"/>
          <w:sz w:val="32"/>
          <w:szCs w:val="32"/>
          <w:lang w:val="en-US" w:eastAsia="zh-CN"/>
          <w14:textFill>
            <w14:solidFill>
              <w14:schemeClr w14:val="tx1"/>
            </w14:solidFill>
          </w14:textFill>
        </w:rPr>
        <w:t>2021年，我县</w:t>
      </w:r>
      <w:r>
        <w:rPr>
          <w:rFonts w:hint="eastAsia" w:ascii="仿宋_GB2312" w:hAnsi="仿宋_GB2312" w:eastAsia="仿宋_GB2312" w:cs="仿宋_GB2312"/>
          <w:sz w:val="32"/>
          <w:szCs w:val="32"/>
        </w:rPr>
        <w:t>计划统筹整合资金</w:t>
      </w:r>
      <w:r>
        <w:rPr>
          <w:rFonts w:hint="eastAsia" w:ascii="仿宋_GB2312" w:hAnsi="仿宋_GB2312" w:eastAsia="仿宋_GB2312" w:cs="仿宋_GB2312"/>
          <w:sz w:val="32"/>
          <w:szCs w:val="32"/>
          <w:lang w:val="en-US" w:eastAsia="zh-CN"/>
        </w:rPr>
        <w:t>25036</w:t>
      </w:r>
      <w:r>
        <w:rPr>
          <w:rFonts w:hint="eastAsia" w:ascii="仿宋_GB2312" w:hAnsi="宋体" w:eastAsia="仿宋_GB2312"/>
          <w:color w:val="000000" w:themeColor="text1"/>
          <w:sz w:val="32"/>
          <w:szCs w:val="32"/>
          <w14:textFill>
            <w14:solidFill>
              <w14:schemeClr w14:val="tx1"/>
            </w14:solidFill>
          </w14:textFill>
        </w:rPr>
        <w:t>万元</w:t>
      </w:r>
      <w:r>
        <w:rPr>
          <w:rFonts w:hint="eastAsia" w:ascii="仿宋_GB2312" w:hAnsi="宋体" w:eastAsia="仿宋_GB2312"/>
          <w:color w:val="000000" w:themeColor="text1"/>
          <w:sz w:val="32"/>
          <w:szCs w:val="32"/>
          <w:lang w:eastAsia="zh-CN"/>
          <w14:textFill>
            <w14:solidFill>
              <w14:schemeClr w14:val="tx1"/>
            </w14:solidFill>
          </w14:textFill>
        </w:rPr>
        <w:t>，其中，</w:t>
      </w:r>
      <w:r>
        <w:rPr>
          <w:rFonts w:hint="eastAsia" w:ascii="仿宋_GB2312" w:hAnsi="宋体" w:eastAsia="仿宋_GB2312"/>
          <w:color w:val="000000" w:themeColor="text1"/>
          <w:sz w:val="32"/>
          <w:szCs w:val="32"/>
          <w:lang w:val="en-US" w:eastAsia="zh-CN"/>
          <w14:textFill>
            <w14:solidFill>
              <w14:schemeClr w14:val="tx1"/>
            </w14:solidFill>
          </w14:textFill>
        </w:rPr>
        <w:t>中央</w:t>
      </w:r>
      <w:r>
        <w:rPr>
          <w:rFonts w:hint="eastAsia" w:ascii="仿宋_GB2312" w:hAnsi="宋体" w:eastAsia="仿宋_GB2312"/>
          <w:color w:val="000000" w:themeColor="text1"/>
          <w:sz w:val="32"/>
          <w:szCs w:val="32"/>
          <w:lang w:eastAsia="zh-CN"/>
          <w14:textFill>
            <w14:solidFill>
              <w14:schemeClr w14:val="tx1"/>
            </w14:solidFill>
          </w14:textFill>
        </w:rPr>
        <w:t>扶贫专项资金</w:t>
      </w:r>
      <w:r>
        <w:rPr>
          <w:rFonts w:hint="eastAsia" w:ascii="仿宋_GB2312" w:hAnsi="宋体" w:eastAsia="仿宋_GB2312"/>
          <w:color w:val="000000" w:themeColor="text1"/>
          <w:sz w:val="32"/>
          <w:szCs w:val="32"/>
          <w:lang w:val="en-US" w:eastAsia="zh-CN"/>
          <w14:textFill>
            <w14:solidFill>
              <w14:schemeClr w14:val="tx1"/>
            </w14:solidFill>
          </w14:textFill>
        </w:rPr>
        <w:t>5110万元，中央衔接推进乡村振兴专项资金</w:t>
      </w:r>
      <w:r>
        <w:rPr>
          <w:rFonts w:hint="eastAsia" w:ascii="仿宋_GB2312" w:hAnsi="仿宋_GB2312" w:eastAsia="仿宋_GB2312" w:cs="仿宋_GB2312"/>
          <w:sz w:val="32"/>
          <w:szCs w:val="32"/>
        </w:rPr>
        <w:t>2653万元</w:t>
      </w:r>
      <w:r>
        <w:rPr>
          <w:rFonts w:hint="eastAsia" w:ascii="仿宋_GB2312" w:hAnsi="仿宋_GB2312" w:eastAsia="仿宋_GB2312" w:cs="仿宋_GB2312"/>
          <w:sz w:val="32"/>
          <w:szCs w:val="32"/>
          <w:lang w:eastAsia="zh-CN"/>
        </w:rPr>
        <w:t>，</w:t>
      </w:r>
      <w:r>
        <w:rPr>
          <w:rFonts w:hint="eastAsia" w:ascii="仿宋_GB2312" w:hAnsi="宋体" w:eastAsia="仿宋_GB2312"/>
          <w:color w:val="000000" w:themeColor="text1"/>
          <w:sz w:val="32"/>
          <w:szCs w:val="32"/>
          <w:lang w:val="en-US" w:eastAsia="zh-CN"/>
          <w14:textFill>
            <w14:solidFill>
              <w14:schemeClr w14:val="tx1"/>
            </w14:solidFill>
          </w14:textFill>
        </w:rPr>
        <w:t>中央高标准农田建设项目资金6600万元；山西省成品油费改税转移支付收入3787万元，山西省扶贫专项资金980万元，山西省高标准农田建设项目资金3102万元；</w:t>
      </w:r>
      <w:r>
        <w:rPr>
          <w:rFonts w:hint="eastAsia" w:ascii="仿宋_GB2312" w:hAnsi="仿宋_GB2312" w:eastAsia="仿宋_GB2312" w:cs="仿宋_GB2312"/>
          <w:sz w:val="32"/>
          <w:szCs w:val="32"/>
          <w:lang w:val="en-US" w:eastAsia="zh-CN"/>
        </w:rPr>
        <w:t>朔州市</w:t>
      </w:r>
      <w:r>
        <w:rPr>
          <w:rFonts w:hint="eastAsia" w:ascii="仿宋_GB2312" w:hAnsi="宋体" w:eastAsia="仿宋_GB2312"/>
          <w:color w:val="000000" w:themeColor="text1"/>
          <w:sz w:val="32"/>
          <w:szCs w:val="32"/>
          <w:lang w:val="en-US" w:eastAsia="zh-CN"/>
          <w14:textFill>
            <w14:solidFill>
              <w14:schemeClr w14:val="tx1"/>
            </w14:solidFill>
          </w14:textFill>
        </w:rPr>
        <w:t>衔接乡村振兴</w:t>
      </w:r>
      <w:r>
        <w:rPr>
          <w:rFonts w:hint="eastAsia" w:ascii="仿宋_GB2312" w:hAnsi="仿宋_GB2312" w:eastAsia="仿宋_GB2312" w:cs="仿宋_GB2312"/>
          <w:sz w:val="32"/>
          <w:szCs w:val="32"/>
          <w:lang w:val="en-US" w:eastAsia="zh-CN"/>
        </w:rPr>
        <w:t>专项</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val="en-US" w:eastAsia="zh-CN"/>
        </w:rPr>
        <w:t>863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宋体" w:eastAsia="仿宋_GB2312"/>
          <w:color w:val="000000" w:themeColor="text1"/>
          <w:sz w:val="32"/>
          <w:szCs w:val="32"/>
          <w:lang w:val="en-US" w:eastAsia="zh-CN"/>
          <w14:textFill>
            <w14:solidFill>
              <w14:schemeClr w14:val="tx1"/>
            </w14:solidFill>
          </w14:textFill>
        </w:rPr>
        <w:t>朔州市高标准农田建设项目资金198万元，右玉县本级资金1743万元。</w:t>
      </w:r>
      <w:r>
        <w:rPr>
          <w:rFonts w:hint="eastAsia" w:ascii="仿宋_GB2312" w:hAnsi="仿宋_GB2312" w:eastAsia="仿宋_GB2312" w:cs="仿宋_GB2312"/>
          <w:sz w:val="32"/>
          <w:szCs w:val="32"/>
          <w:lang w:val="en-US" w:eastAsia="zh-CN"/>
        </w:rPr>
        <w:t>从巩固拓展脱贫攻坚成果有效衔接乡村振兴需要出发，安排用于支持巩固拓展脱贫攻坚成果、支持衔接推进乡村振兴、巩固拓展脱贫攻坚成果同乡村振兴有效衔接其他相关支出三个方面：</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b w:val="0"/>
          <w:bCs w:val="0"/>
          <w:i w:val="0"/>
          <w:iCs w:val="0"/>
          <w:sz w:val="32"/>
          <w:szCs w:val="32"/>
          <w:lang w:val="en-US" w:eastAsia="zh-CN"/>
        </w:rPr>
      </w:pPr>
      <w:r>
        <w:rPr>
          <w:rFonts w:hint="eastAsia" w:ascii="楷体_GB2312" w:hAnsi="楷体_GB2312" w:eastAsia="楷体_GB2312" w:cs="楷体_GB2312"/>
          <w:b w:val="0"/>
          <w:bCs w:val="0"/>
          <w:i w:val="0"/>
          <w:iCs w:val="0"/>
          <w:sz w:val="32"/>
          <w:szCs w:val="32"/>
          <w:lang w:val="en-US" w:eastAsia="zh-CN"/>
        </w:rPr>
        <w:t>（一）巩固拓展脱贫攻坚成果方面安排资金991万元。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一是防止返贫致贫监测和帮扶安排资金797万元。</w:t>
      </w:r>
      <w:r>
        <w:rPr>
          <w:rFonts w:hint="eastAsia" w:ascii="仿宋_GB2312" w:hAnsi="仿宋_GB2312" w:eastAsia="仿宋_GB2312" w:cs="仿宋_GB2312"/>
          <w:sz w:val="32"/>
          <w:szCs w:val="32"/>
          <w:lang w:val="en-US" w:eastAsia="zh-CN"/>
        </w:rPr>
        <w:t>对“两类户”中普通劳动力462人（含边缘户29人）、弱劳动力128人（含边缘户57人）给予产业扶持，按照2000元/人的标准给予资金或实物补贴，共计590人安排资金118万元；对开发公益岗位和开展老年人公益事业试点乡村进行补贴，安排资金32万元；继续保持“532”小额信贷和“雨露计划”政策不变，分别安排资金400万元、60万元；稳步推进致富带头人培训,安排资金50万元；开设护林员公岗，安排资金137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二是外出务工脱贫劳动力（含监测帮扶对象）稳定就业安排资金79万元。</w:t>
      </w:r>
      <w:r>
        <w:rPr>
          <w:rFonts w:hint="eastAsia" w:ascii="仿宋_GB2312" w:hAnsi="仿宋_GB2312" w:eastAsia="仿宋_GB2312" w:cs="仿宋_GB2312"/>
          <w:sz w:val="32"/>
          <w:szCs w:val="32"/>
          <w:lang w:val="en-US" w:eastAsia="zh-CN"/>
        </w:rPr>
        <w:t>对跨省和省内跨县域就业的脱贫劳动力给予一次性交通补助，省外就业人员每人800元，县外省内就业人员每人600元。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三是“十三五”易地扶贫搬迁后续扶持安排资金115万元。</w:t>
      </w:r>
      <w:r>
        <w:rPr>
          <w:rFonts w:hint="eastAsia" w:ascii="仿宋_GB2312" w:hAnsi="仿宋_GB2312" w:eastAsia="仿宋_GB2312" w:cs="仿宋_GB2312"/>
          <w:sz w:val="32"/>
          <w:szCs w:val="32"/>
          <w:lang w:val="en-US" w:eastAsia="zh-CN"/>
        </w:rPr>
        <w:t>在盘活用好易地移民搬迁安置区后续产业项目且吸纳搬迁群众就业方面，安排资金20万元；对调整规范后的地方政府债券贴息补助95万元。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楷体_GB2312" w:hAnsi="楷体_GB2312" w:eastAsia="楷体_GB2312" w:cs="楷体_GB2312"/>
          <w:b w:val="0"/>
          <w:bCs w:val="0"/>
          <w:i w:val="0"/>
          <w:iCs w:val="0"/>
          <w:sz w:val="32"/>
          <w:szCs w:val="32"/>
          <w:lang w:val="en-US" w:eastAsia="zh-CN"/>
        </w:rPr>
      </w:pPr>
      <w:r>
        <w:rPr>
          <w:rFonts w:hint="eastAsia" w:ascii="楷体_GB2312" w:hAnsi="楷体_GB2312" w:eastAsia="楷体_GB2312" w:cs="楷体_GB2312"/>
          <w:b w:val="0"/>
          <w:bCs w:val="0"/>
          <w:i w:val="0"/>
          <w:iCs w:val="0"/>
          <w:sz w:val="32"/>
          <w:szCs w:val="32"/>
          <w:lang w:val="en-US" w:eastAsia="zh-CN"/>
        </w:rPr>
        <w:t>（二）支持衔接推进乡村振兴方面安排资金17018万元。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bCs/>
          <w:sz w:val="32"/>
          <w:szCs w:val="32"/>
        </w:rPr>
        <w:t>培育和壮大特色优势产业</w:t>
      </w:r>
      <w:r>
        <w:rPr>
          <w:rFonts w:hint="eastAsia" w:ascii="仿宋_GB2312" w:hAnsi="仿宋_GB2312" w:eastAsia="仿宋_GB2312" w:cs="仿宋_GB2312"/>
          <w:b/>
          <w:bCs/>
          <w:sz w:val="32"/>
          <w:szCs w:val="32"/>
          <w:lang w:val="en-US" w:eastAsia="zh-CN"/>
        </w:rPr>
        <w:t>扶持村集体经济发展安排资金1515万元</w:t>
      </w:r>
      <w:r>
        <w:rPr>
          <w:rFonts w:hint="eastAsia" w:ascii="仿宋_GB2312" w:hAnsi="仿宋_GB2312" w:eastAsia="仿宋_GB2312" w:cs="仿宋_GB2312"/>
          <w:b/>
          <w:bCs/>
          <w:sz w:val="32"/>
          <w:szCs w:val="32"/>
        </w:rPr>
        <w:t>。</w:t>
      </w:r>
      <w:r>
        <w:rPr>
          <w:rFonts w:hint="eastAsia" w:ascii="仿宋_GB2312" w:hAnsi="仿宋_GB2312" w:eastAsia="仿宋_GB2312" w:cs="仿宋_GB2312"/>
          <w:sz w:val="32"/>
          <w:szCs w:val="32"/>
          <w:lang w:val="en-US" w:eastAsia="zh-CN"/>
        </w:rPr>
        <w:t>杀虎口风景名胜区马营河村大棚建设项目573万元；红寺洼村新建蔬菜大棚项目50万元；大马营村新建蔬菜大棚项目50万元；李达窑乡养鸡项目30万元；高家堡乡麻黄头村肉牛养殖项目60万元；牛心乡盘石岭村养殖项目41万元；范家窑村农田改造项目28万元；脱毒马铃薯新品种繁育项目90万元；杨千河乡食用菌种植项目55万元；东兴村大棚建设项目189万元；光伏扶贫项目269万元；南街村蘑菇种植项目40万元；康平村蘑菇种植项目40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二是支持农业“特”“优”战略，培育带动主体，安排资金15503万元。</w:t>
      </w:r>
      <w:r>
        <w:rPr>
          <w:rFonts w:hint="eastAsia" w:ascii="仿宋_GB2312" w:hAnsi="仿宋_GB2312" w:eastAsia="仿宋_GB2312" w:cs="仿宋_GB2312"/>
          <w:sz w:val="32"/>
          <w:szCs w:val="32"/>
          <w:lang w:val="en-US" w:eastAsia="zh-CN"/>
        </w:rPr>
        <w:t>重点用以支持农产品精深加工十大产业集群、三大省级战略和五大出口（商贸）平台建设，助推第一产业高质量高速度发展。</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sz w:val="32"/>
          <w:szCs w:val="32"/>
          <w:lang w:val="en-US" w:eastAsia="zh-CN"/>
        </w:rPr>
        <w:t>1、助推第一产业高质量高速度发展安排资金10906万元，实施高标准农田改造项目。</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2、生态羊全产业链发展</w:t>
      </w:r>
      <w:r>
        <w:rPr>
          <w:rFonts w:hint="eastAsia" w:ascii="仿宋_GB2312" w:hAnsi="仿宋_GB2312" w:eastAsia="仿宋_GB2312" w:cs="仿宋_GB2312"/>
          <w:b w:val="0"/>
          <w:bCs w:val="0"/>
          <w:sz w:val="32"/>
          <w:szCs w:val="32"/>
        </w:rPr>
        <w:t>安排</w:t>
      </w:r>
      <w:r>
        <w:rPr>
          <w:rFonts w:hint="eastAsia" w:ascii="仿宋_GB2312" w:hAnsi="仿宋_GB2312" w:eastAsia="仿宋_GB2312" w:cs="仿宋_GB2312"/>
          <w:b w:val="0"/>
          <w:bCs w:val="0"/>
          <w:sz w:val="32"/>
          <w:szCs w:val="32"/>
          <w:lang w:val="en-US" w:eastAsia="zh-CN"/>
        </w:rPr>
        <w:t>资金1971万元，重点用于</w:t>
      </w:r>
      <w:r>
        <w:rPr>
          <w:rFonts w:hint="eastAsia" w:ascii="仿宋_GB2312" w:hAnsi="仿宋_GB2312" w:eastAsia="仿宋_GB2312" w:cs="仿宋_GB2312"/>
          <w:sz w:val="32"/>
          <w:szCs w:val="32"/>
          <w:lang w:val="en-US" w:eastAsia="zh-CN"/>
        </w:rPr>
        <w:t>与脱贫户建立长期稳定有效利益联结机制的经营主体（农业龙头企业、农民专业合作社、种养殖大户等），在</w:t>
      </w:r>
      <w:r>
        <w:rPr>
          <w:rFonts w:hint="eastAsia" w:ascii="仿宋_GB2312" w:hAnsi="仿宋_GB2312" w:eastAsia="仿宋_GB2312" w:cs="仿宋_GB2312"/>
          <w:b w:val="0"/>
          <w:bCs w:val="0"/>
          <w:sz w:val="32"/>
          <w:szCs w:val="32"/>
          <w:lang w:val="en-US" w:eastAsia="zh-CN"/>
        </w:rPr>
        <w:t>新建圈舍、经产母羊、屠宰加工销售、草库建设予以奖补，优先使用畜牧渠道资金。牛羊圈舍草库建设项目安排奖补资金</w:t>
      </w:r>
      <w:r>
        <w:rPr>
          <w:rFonts w:hint="eastAsia" w:ascii="仿宋_GB2312" w:hAnsi="仿宋_GB2312" w:eastAsia="仿宋_GB2312" w:cs="仿宋_GB2312"/>
          <w:b/>
          <w:bCs/>
          <w:sz w:val="32"/>
          <w:szCs w:val="32"/>
          <w:lang w:val="en-US" w:eastAsia="zh-CN"/>
        </w:rPr>
        <w:t>945万元</w:t>
      </w:r>
      <w:r>
        <w:rPr>
          <w:rFonts w:hint="eastAsia" w:ascii="仿宋_GB2312" w:hAnsi="仿宋_GB2312" w:eastAsia="仿宋_GB2312" w:cs="仿宋_GB2312"/>
          <w:b w:val="0"/>
          <w:bCs w:val="0"/>
          <w:sz w:val="32"/>
          <w:szCs w:val="32"/>
          <w:lang w:val="en-US" w:eastAsia="zh-CN"/>
        </w:rPr>
        <w:t>；新建圈舍安排奖补</w:t>
      </w:r>
      <w:r>
        <w:rPr>
          <w:rFonts w:hint="eastAsia" w:ascii="仿宋_GB2312" w:hAnsi="仿宋_GB2312" w:eastAsia="仿宋_GB2312" w:cs="仿宋_GB2312"/>
          <w:sz w:val="32"/>
          <w:szCs w:val="32"/>
          <w:lang w:val="en-US" w:eastAsia="zh-CN"/>
        </w:rPr>
        <w:t>资金</w:t>
      </w:r>
      <w:r>
        <w:rPr>
          <w:rFonts w:hint="eastAsia" w:ascii="仿宋_GB2312" w:hAnsi="仿宋_GB2312" w:eastAsia="仿宋_GB2312" w:cs="仿宋_GB2312"/>
          <w:b/>
          <w:bCs/>
          <w:sz w:val="32"/>
          <w:szCs w:val="32"/>
          <w:lang w:val="en-US" w:eastAsia="zh-CN"/>
        </w:rPr>
        <w:t>200万元</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sz w:val="32"/>
          <w:szCs w:val="32"/>
          <w:lang w:val="en-US" w:eastAsia="zh-CN"/>
        </w:rPr>
        <w:t>种公羊培育安排</w:t>
      </w:r>
      <w:r>
        <w:rPr>
          <w:rFonts w:hint="eastAsia" w:ascii="仿宋_GB2312" w:hAnsi="仿宋_GB2312" w:eastAsia="仿宋_GB2312" w:cs="仿宋_GB2312"/>
          <w:b w:val="0"/>
          <w:bCs w:val="0"/>
          <w:sz w:val="32"/>
          <w:szCs w:val="32"/>
          <w:lang w:val="en-US" w:eastAsia="zh-CN"/>
        </w:rPr>
        <w:t>奖补资金</w:t>
      </w:r>
      <w:r>
        <w:rPr>
          <w:rFonts w:hint="eastAsia" w:ascii="仿宋_GB2312" w:hAnsi="仿宋_GB2312" w:eastAsia="仿宋_GB2312" w:cs="仿宋_GB2312"/>
          <w:b/>
          <w:bCs/>
          <w:sz w:val="32"/>
          <w:szCs w:val="32"/>
          <w:lang w:val="en-US" w:eastAsia="zh-CN"/>
        </w:rPr>
        <w:t>50万元</w:t>
      </w:r>
      <w:r>
        <w:rPr>
          <w:rFonts w:hint="eastAsia" w:ascii="仿宋_GB2312" w:hAnsi="仿宋_GB2312" w:eastAsia="仿宋_GB2312" w:cs="仿宋_GB2312"/>
          <w:sz w:val="32"/>
          <w:szCs w:val="32"/>
          <w:lang w:val="en-US" w:eastAsia="zh-CN"/>
        </w:rPr>
        <w:t>；与本地农户签订长期收购幼崽合同的养羊企业和合作社（含大户）</w:t>
      </w:r>
      <w:r>
        <w:rPr>
          <w:rFonts w:hint="eastAsia" w:ascii="仿宋_GB2312" w:hAnsi="仿宋_GB2312" w:eastAsia="仿宋_GB2312" w:cs="仿宋_GB2312"/>
          <w:b w:val="0"/>
          <w:bCs w:val="0"/>
          <w:sz w:val="32"/>
          <w:szCs w:val="32"/>
          <w:lang w:val="en-US" w:eastAsia="zh-CN"/>
        </w:rPr>
        <w:t>安排奖补资金476</w:t>
      </w:r>
      <w:r>
        <w:rPr>
          <w:rFonts w:hint="eastAsia" w:ascii="仿宋_GB2312" w:hAnsi="仿宋_GB2312" w:eastAsia="仿宋_GB2312" w:cs="仿宋_GB2312"/>
          <w:b/>
          <w:bCs/>
          <w:sz w:val="32"/>
          <w:szCs w:val="32"/>
          <w:lang w:val="en-US" w:eastAsia="zh-CN"/>
        </w:rPr>
        <w:t>万元</w:t>
      </w:r>
      <w:r>
        <w:rPr>
          <w:rFonts w:hint="eastAsia" w:ascii="仿宋_GB2312" w:hAnsi="仿宋_GB2312" w:eastAsia="仿宋_GB2312" w:cs="仿宋_GB2312"/>
          <w:sz w:val="32"/>
          <w:szCs w:val="32"/>
          <w:lang w:val="en-US" w:eastAsia="zh-CN"/>
        </w:rPr>
        <w:t>；胡羊养殖安排</w:t>
      </w:r>
      <w:r>
        <w:rPr>
          <w:rFonts w:hint="eastAsia" w:ascii="仿宋_GB2312" w:hAnsi="仿宋_GB2312" w:eastAsia="仿宋_GB2312" w:cs="仿宋_GB2312"/>
          <w:b w:val="0"/>
          <w:bCs w:val="0"/>
          <w:sz w:val="32"/>
          <w:szCs w:val="32"/>
          <w:lang w:val="en-US" w:eastAsia="zh-CN"/>
        </w:rPr>
        <w:t>奖励资金</w:t>
      </w:r>
      <w:r>
        <w:rPr>
          <w:rFonts w:hint="eastAsia" w:ascii="仿宋_GB2312" w:hAnsi="仿宋_GB2312" w:eastAsia="仿宋_GB2312" w:cs="仿宋_GB2312"/>
          <w:b/>
          <w:bCs/>
          <w:sz w:val="32"/>
          <w:szCs w:val="32"/>
          <w:lang w:val="en-US" w:eastAsia="zh-CN"/>
        </w:rPr>
        <w:t>100万元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屠宰加工销售</w:t>
      </w:r>
      <w:r>
        <w:rPr>
          <w:rFonts w:hint="eastAsia" w:ascii="仿宋_GB2312" w:hAnsi="仿宋_GB2312" w:eastAsia="仿宋_GB2312" w:cs="仿宋_GB2312"/>
          <w:sz w:val="32"/>
          <w:szCs w:val="32"/>
          <w:lang w:val="en-US" w:eastAsia="zh-CN"/>
        </w:rPr>
        <w:t>企业安排</w:t>
      </w:r>
      <w:r>
        <w:rPr>
          <w:rFonts w:hint="eastAsia" w:ascii="仿宋_GB2312" w:hAnsi="仿宋_GB2312" w:eastAsia="仿宋_GB2312" w:cs="仿宋_GB2312"/>
          <w:b w:val="0"/>
          <w:bCs w:val="0"/>
          <w:sz w:val="32"/>
          <w:szCs w:val="32"/>
          <w:lang w:val="en-US" w:eastAsia="zh-CN"/>
        </w:rPr>
        <w:t>奖励资金</w:t>
      </w:r>
      <w:r>
        <w:rPr>
          <w:rFonts w:hint="eastAsia" w:ascii="仿宋_GB2312" w:hAnsi="仿宋_GB2312" w:eastAsia="仿宋_GB2312" w:cs="仿宋_GB2312"/>
          <w:b/>
          <w:bCs/>
          <w:sz w:val="32"/>
          <w:szCs w:val="32"/>
          <w:lang w:val="en-US" w:eastAsia="zh-CN"/>
        </w:rPr>
        <w:t>200万元</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3、支持农业品种培优、品质提升、品牌打造安排</w:t>
      </w:r>
      <w:r>
        <w:rPr>
          <w:rFonts w:hint="eastAsia" w:ascii="仿宋_GB2312" w:hAnsi="仿宋_GB2312" w:eastAsia="仿宋_GB2312" w:cs="仿宋_GB2312"/>
          <w:b w:val="0"/>
          <w:bCs w:val="0"/>
          <w:sz w:val="32"/>
          <w:szCs w:val="32"/>
          <w:lang w:val="en-US" w:eastAsia="zh-CN"/>
        </w:rPr>
        <w:t>补助资金</w:t>
      </w:r>
      <w:r>
        <w:rPr>
          <w:rFonts w:hint="eastAsia" w:ascii="仿宋_GB2312" w:hAnsi="仿宋_GB2312" w:eastAsia="仿宋_GB2312" w:cs="仿宋_GB2312"/>
          <w:sz w:val="32"/>
          <w:szCs w:val="32"/>
          <w:lang w:val="en-US" w:eastAsia="zh-CN"/>
        </w:rPr>
        <w:t>1000万元。重点用于对全县农业产业发展起带动作用的6家省扶贫龙头企业、2家市扶贫龙头企业、3家县级扶贫龙头企业在新品研发、品牌打造、技术改进等方面进行扶持。</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4、对通过流转土地等方式带动农户增收致富的种植经营主体（农业龙头企业、农民专业合作社、家庭农场、种养殖大户等）安排奖补资金300万元。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3"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w:t>
      </w:r>
      <w:r>
        <w:rPr>
          <w:rFonts w:hint="eastAsia" w:ascii="仿宋_GB2312" w:hAnsi="仿宋_GB2312" w:eastAsia="仿宋_GB2312" w:cs="仿宋_GB2312"/>
          <w:sz w:val="32"/>
          <w:szCs w:val="32"/>
          <w:lang w:val="en-US" w:eastAsia="zh-CN"/>
        </w:rPr>
        <w:t>对我县特色种植补贴安排资金720万元，中药材种植示范园区补助60万元；谷子种植园区补助55万元；杂粮种植项目补助200万元；马铃薯种植项目补助200万元；彩色种植项目补助205万元。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为延伸产业链条增强辐射带动效应安排奖补资金240万元。对万吨级以上标准化饲草加工企业安排奖补资金150万元；从本地农户收购原料的年销售1000万元以上的功能食品、化妆品、进出口产品加工企业安排奖补资金90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产业配套安排补助资金366万元，为提升光伏电站发电效益的4个变电站改造项目安排资金30万（元堡子镇增子坊村、蔡家堡村、腊家屯村、梁信屯村光伏并网高压线路及变台改造项目）；为发展中药材种植配套建设的晾晒分拣储存场安排资金336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rPr>
          <w:rFonts w:hint="default" w:ascii="楷体_GB2312" w:hAnsi="楷体_GB2312" w:eastAsia="楷体_GB2312" w:cs="楷体_GB2312"/>
          <w:b w:val="0"/>
          <w:bCs w:val="0"/>
          <w:i w:val="0"/>
          <w:iCs w:val="0"/>
          <w:sz w:val="32"/>
          <w:szCs w:val="32"/>
          <w:lang w:val="en-US" w:eastAsia="zh-CN"/>
        </w:rPr>
      </w:pPr>
      <w:r>
        <w:rPr>
          <w:rFonts w:hint="eastAsia" w:ascii="楷体_GB2312" w:hAnsi="楷体_GB2312" w:eastAsia="楷体_GB2312" w:cs="楷体_GB2312"/>
          <w:b w:val="0"/>
          <w:bCs w:val="0"/>
          <w:i w:val="0"/>
          <w:iCs w:val="0"/>
          <w:sz w:val="32"/>
          <w:szCs w:val="32"/>
          <w:lang w:val="en-US" w:eastAsia="zh-CN"/>
        </w:rPr>
        <w:t>三是巩固拓展脱贫攻坚成果同乡村振兴有效衔接的其他相关支出方面安排资金7027万元。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th-TH"/>
        </w:rPr>
      </w:pPr>
      <w:r>
        <w:rPr>
          <w:rFonts w:hint="eastAsia" w:ascii="仿宋_GB2312" w:hAnsi="仿宋_GB2312" w:eastAsia="仿宋_GB2312" w:cs="仿宋_GB2312"/>
          <w:kern w:val="2"/>
          <w:sz w:val="32"/>
          <w:szCs w:val="32"/>
          <w:lang w:val="en-US" w:eastAsia="zh-CN" w:bidi="th-TH"/>
        </w:rPr>
        <w:t>1、农村饮水提升工程安排资金350万元。元堡子镇和高家堡乡19个村水毁修复安排75万元；水利局引黄工程安排95万元；各村水源地防护工程180万元。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th-TH"/>
        </w:rPr>
      </w:pPr>
      <w:r>
        <w:rPr>
          <w:rFonts w:hint="eastAsia" w:ascii="仿宋_GB2312" w:hAnsi="仿宋_GB2312" w:eastAsia="仿宋_GB2312" w:cs="仿宋_GB2312"/>
          <w:kern w:val="2"/>
          <w:sz w:val="32"/>
          <w:szCs w:val="32"/>
          <w:lang w:val="en-US" w:eastAsia="zh-CN" w:bidi="th-TH"/>
        </w:rPr>
        <w:t>2、农村四好公路建设安排资金3787万元。</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仿宋_GB2312" w:eastAsia="仿宋_GB2312" w:cs="仿宋_GB2312"/>
          <w:kern w:val="2"/>
          <w:sz w:val="32"/>
          <w:szCs w:val="32"/>
          <w:lang w:val="en-US" w:eastAsia="zh-CN" w:bidi="th-TH"/>
        </w:rPr>
      </w:pPr>
      <w:r>
        <w:rPr>
          <w:rFonts w:hint="eastAsia" w:ascii="仿宋_GB2312" w:hAnsi="仿宋_GB2312" w:eastAsia="仿宋_GB2312" w:cs="仿宋_GB2312"/>
          <w:kern w:val="2"/>
          <w:sz w:val="32"/>
          <w:szCs w:val="32"/>
          <w:lang w:val="en-US" w:eastAsia="zh-CN" w:bidi="th-TH"/>
        </w:rPr>
        <w:t>3、农村环境整治提升安排资金1490万元。突出重点，统筹兼顾用于非贫困村人居环境综合提升工程。</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ascii="仿宋_GB2312" w:hAnsi="仿宋_GB2312" w:eastAsia="仿宋_GB2312" w:cs="仿宋_GB2312"/>
          <w:kern w:val="2"/>
          <w:sz w:val="32"/>
          <w:szCs w:val="32"/>
          <w:lang w:val="en-US" w:eastAsia="zh-CN" w:bidi="th-TH"/>
        </w:rPr>
      </w:pPr>
      <w:r>
        <w:rPr>
          <w:rFonts w:hint="eastAsia" w:ascii="仿宋_GB2312" w:hAnsi="仿宋_GB2312" w:eastAsia="仿宋_GB2312" w:cs="仿宋_GB2312"/>
          <w:kern w:val="2"/>
          <w:sz w:val="32"/>
          <w:szCs w:val="32"/>
          <w:lang w:val="en-US" w:eastAsia="zh-CN" w:bidi="th-TH"/>
        </w:rPr>
        <w:t>4、夯实农村基础设施建设安排资金1400万元。为人口密集的农村建设污水处理项目安排资金1300万元；农村改厕安排资金100万元。</w:t>
      </w:r>
    </w:p>
    <w:p>
      <w:pPr>
        <w:keepNext w:val="0"/>
        <w:keepLines w:val="0"/>
        <w:pageBreakBefore w:val="0"/>
        <w:widowControl w:val="0"/>
        <w:tabs>
          <w:tab w:val="left" w:pos="3315"/>
        </w:tabs>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、实施计划</w:t>
      </w:r>
    </w:p>
    <w:p>
      <w:pPr>
        <w:keepNext w:val="0"/>
        <w:keepLines w:val="0"/>
        <w:pageBreakBefore w:val="0"/>
        <w:widowControl w:val="0"/>
        <w:tabs>
          <w:tab w:val="left" w:pos="3315"/>
        </w:tabs>
        <w:kinsoku/>
        <w:wordWrap/>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楷体_GB2312" w:hAnsi="楷体_GB2312" w:eastAsia="楷体_GB2312" w:cs="楷体_GB2312"/>
          <w:sz w:val="32"/>
          <w:szCs w:val="32"/>
        </w:rPr>
        <w:t>（一）准备阶段：</w:t>
      </w:r>
      <w:r>
        <w:rPr>
          <w:rFonts w:hint="eastAsia" w:ascii="楷体_GB2312" w:hAnsi="楷体_GB2312" w:eastAsia="楷体_GB2312" w:cs="楷体_GB2312"/>
          <w:sz w:val="32"/>
          <w:szCs w:val="32"/>
          <w:highlight w:val="none"/>
        </w:rPr>
        <w:t>（20</w:t>
      </w:r>
      <w:r>
        <w:rPr>
          <w:rFonts w:hint="eastAsia" w:ascii="楷体_GB2312" w:hAnsi="楷体_GB2312" w:eastAsia="楷体_GB2312" w:cs="楷体_GB2312"/>
          <w:sz w:val="32"/>
          <w:szCs w:val="32"/>
          <w:highlight w:val="none"/>
          <w:lang w:val="en-US" w:eastAsia="zh-CN"/>
        </w:rPr>
        <w:t>21</w:t>
      </w:r>
      <w:r>
        <w:rPr>
          <w:rFonts w:hint="eastAsia" w:ascii="楷体_GB2312" w:hAnsi="楷体_GB2312" w:eastAsia="楷体_GB2312" w:cs="楷体_GB2312"/>
          <w:sz w:val="32"/>
          <w:szCs w:val="32"/>
          <w:highlight w:val="none"/>
        </w:rPr>
        <w:t>年</w:t>
      </w: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月</w:t>
      </w:r>
      <w:r>
        <w:rPr>
          <w:rFonts w:hint="eastAsia" w:ascii="楷体_GB2312" w:hAnsi="楷体_GB2312" w:eastAsia="楷体_GB2312" w:cs="楷体_GB2312"/>
          <w:sz w:val="32"/>
          <w:szCs w:val="32"/>
          <w:highlight w:val="none"/>
          <w:lang w:val="en-US" w:eastAsia="zh-CN"/>
        </w:rPr>
        <w:t>4</w:t>
      </w:r>
      <w:r>
        <w:rPr>
          <w:rFonts w:hint="eastAsia" w:ascii="楷体_GB2312" w:hAnsi="楷体_GB2312" w:eastAsia="楷体_GB2312" w:cs="楷体_GB2312"/>
          <w:sz w:val="32"/>
          <w:szCs w:val="32"/>
          <w:highlight w:val="none"/>
        </w:rPr>
        <w:t>日-202</w:t>
      </w: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年</w:t>
      </w:r>
      <w:r>
        <w:rPr>
          <w:rFonts w:hint="eastAsia" w:ascii="楷体_GB2312" w:hAnsi="楷体_GB2312" w:eastAsia="楷体_GB2312" w:cs="楷体_GB2312"/>
          <w:sz w:val="32"/>
          <w:szCs w:val="32"/>
          <w:highlight w:val="none"/>
          <w:lang w:val="en-US" w:eastAsia="zh-CN"/>
        </w:rPr>
        <w:t>3</w:t>
      </w:r>
      <w:r>
        <w:rPr>
          <w:rFonts w:hint="eastAsia" w:ascii="楷体_GB2312" w:hAnsi="楷体_GB2312" w:eastAsia="楷体_GB2312" w:cs="楷体_GB2312"/>
          <w:sz w:val="32"/>
          <w:szCs w:val="32"/>
          <w:highlight w:val="none"/>
        </w:rPr>
        <w:t>月3</w:t>
      </w: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日）。</w:t>
      </w:r>
      <w:r>
        <w:rPr>
          <w:rFonts w:hint="eastAsia" w:ascii="仿宋_GB2312" w:hAnsi="仿宋_GB2312" w:eastAsia="仿宋_GB2312" w:cs="仿宋_GB2312"/>
          <w:sz w:val="32"/>
          <w:szCs w:val="32"/>
        </w:rPr>
        <w:t>提前谋划项目前期各项准备工作，把项目落实到单位部门，各单位、各部门提前做好各项前期准备工作。</w:t>
      </w:r>
    </w:p>
    <w:p>
      <w:pPr>
        <w:keepNext w:val="0"/>
        <w:keepLines w:val="0"/>
        <w:pageBreakBefore w:val="0"/>
        <w:widowControl w:val="0"/>
        <w:tabs>
          <w:tab w:val="left" w:pos="3315"/>
        </w:tabs>
        <w:kinsoku/>
        <w:wordWrap/>
        <w:overflowPunct/>
        <w:topLinePunct w:val="0"/>
        <w:autoSpaceDE/>
        <w:autoSpaceDN/>
        <w:bidi w:val="0"/>
        <w:adjustRightInd/>
        <w:snapToGrid/>
        <w:spacing w:line="600" w:lineRule="exact"/>
        <w:ind w:left="0" w:leftChars="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 xml:space="preserve">    （二）实施阶段：</w:t>
      </w:r>
      <w:r>
        <w:rPr>
          <w:rFonts w:hint="eastAsia" w:ascii="楷体_GB2312" w:hAnsi="楷体_GB2312" w:eastAsia="楷体_GB2312" w:cs="楷体_GB2312"/>
          <w:sz w:val="32"/>
          <w:szCs w:val="32"/>
          <w:highlight w:val="none"/>
        </w:rPr>
        <w:t>（202</w:t>
      </w: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年</w:t>
      </w:r>
      <w:r>
        <w:rPr>
          <w:rFonts w:hint="eastAsia" w:ascii="楷体_GB2312" w:hAnsi="楷体_GB2312" w:eastAsia="楷体_GB2312" w:cs="楷体_GB2312"/>
          <w:sz w:val="32"/>
          <w:szCs w:val="32"/>
          <w:highlight w:val="none"/>
          <w:lang w:val="en-US" w:eastAsia="zh-CN"/>
        </w:rPr>
        <w:t>4</w:t>
      </w:r>
      <w:r>
        <w:rPr>
          <w:rFonts w:hint="eastAsia" w:ascii="楷体_GB2312" w:hAnsi="楷体_GB2312" w:eastAsia="楷体_GB2312" w:cs="楷体_GB2312"/>
          <w:sz w:val="32"/>
          <w:szCs w:val="32"/>
          <w:highlight w:val="none"/>
        </w:rPr>
        <w:t>月1日-202</w:t>
      </w: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年6月30日）。</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右玉县2021年</w:t>
      </w:r>
      <w:r>
        <w:rPr>
          <w:rFonts w:hint="eastAsia" w:ascii="仿宋_GB2312" w:hAnsi="仿宋_GB2312" w:eastAsia="仿宋_GB2312" w:cs="仿宋_GB2312"/>
          <w:sz w:val="32"/>
          <w:szCs w:val="32"/>
        </w:rPr>
        <w:t>整合财政资金</w:t>
      </w:r>
      <w:r>
        <w:rPr>
          <w:rFonts w:hint="eastAsia" w:ascii="仿宋_GB2312" w:hAnsi="仿宋_GB2312" w:eastAsia="仿宋_GB2312" w:cs="仿宋_GB2312"/>
          <w:sz w:val="32"/>
          <w:szCs w:val="32"/>
          <w:lang w:val="en-US" w:eastAsia="zh-CN"/>
        </w:rPr>
        <w:t>衔接推进乡村振兴实施方案</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方案》）报备工作。同时，</w:t>
      </w:r>
      <w:r>
        <w:rPr>
          <w:rFonts w:hint="eastAsia" w:ascii="仿宋_GB2312" w:hAnsi="仿宋_GB2312" w:eastAsia="仿宋_GB2312" w:cs="仿宋_GB2312"/>
          <w:sz w:val="32"/>
          <w:szCs w:val="32"/>
          <w:lang w:val="en-US" w:eastAsia="zh-CN"/>
        </w:rPr>
        <w:t>各类项目要</w:t>
      </w:r>
      <w:r>
        <w:rPr>
          <w:rFonts w:hint="eastAsia" w:ascii="仿宋_GB2312" w:hAnsi="仿宋_GB2312" w:eastAsia="仿宋_GB2312" w:cs="仿宋_GB2312"/>
          <w:sz w:val="32"/>
          <w:szCs w:val="32"/>
        </w:rPr>
        <w:t>严格按照相关制度</w:t>
      </w:r>
      <w:r>
        <w:rPr>
          <w:rFonts w:hint="eastAsia" w:ascii="仿宋_GB2312" w:hAnsi="仿宋_GB2312" w:eastAsia="仿宋_GB2312" w:cs="仿宋_GB2312"/>
          <w:sz w:val="32"/>
          <w:szCs w:val="32"/>
          <w:lang w:val="en-US" w:eastAsia="zh-CN"/>
        </w:rPr>
        <w:t>执行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确保如期完成</w:t>
      </w:r>
      <w:r>
        <w:rPr>
          <w:rFonts w:hint="eastAsia" w:ascii="仿宋_GB2312" w:hAnsi="仿宋_GB2312" w:eastAsia="仿宋_GB2312" w:cs="仿宋_GB2312"/>
          <w:sz w:val="32"/>
          <w:szCs w:val="32"/>
        </w:rPr>
        <w:t>建设任务。</w:t>
      </w:r>
    </w:p>
    <w:p>
      <w:pPr>
        <w:keepNext w:val="0"/>
        <w:keepLines w:val="0"/>
        <w:pageBreakBefore w:val="0"/>
        <w:widowControl w:val="0"/>
        <w:tabs>
          <w:tab w:val="left" w:pos="3315"/>
        </w:tabs>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sz w:val="32"/>
          <w:szCs w:val="32"/>
          <w:lang w:eastAsia="zh-CN"/>
        </w:rPr>
      </w:pPr>
      <w:r>
        <w:rPr>
          <w:rFonts w:hint="eastAsia" w:ascii="楷体_GB2312" w:hAnsi="楷体_GB2312" w:eastAsia="楷体_GB2312" w:cs="楷体_GB2312"/>
          <w:sz w:val="32"/>
          <w:szCs w:val="32"/>
        </w:rPr>
        <w:t>（三）调整验收总结阶段：</w:t>
      </w:r>
      <w:r>
        <w:rPr>
          <w:rFonts w:hint="eastAsia" w:ascii="楷体_GB2312" w:hAnsi="楷体_GB2312" w:eastAsia="楷体_GB2312" w:cs="楷体_GB2312"/>
          <w:sz w:val="32"/>
          <w:szCs w:val="32"/>
          <w:highlight w:val="none"/>
        </w:rPr>
        <w:t>（202</w:t>
      </w:r>
      <w:r>
        <w:rPr>
          <w:rFonts w:hint="eastAsia" w:ascii="楷体_GB2312" w:hAnsi="楷体_GB2312" w:eastAsia="楷体_GB2312" w:cs="楷体_GB2312"/>
          <w:sz w:val="32"/>
          <w:szCs w:val="32"/>
          <w:highlight w:val="none"/>
          <w:lang w:val="en-US" w:eastAsia="zh-CN"/>
        </w:rPr>
        <w:t>1</w:t>
      </w:r>
      <w:r>
        <w:rPr>
          <w:rFonts w:hint="eastAsia" w:ascii="楷体_GB2312" w:hAnsi="楷体_GB2312" w:eastAsia="楷体_GB2312" w:cs="楷体_GB2312"/>
          <w:sz w:val="32"/>
          <w:szCs w:val="32"/>
          <w:highlight w:val="none"/>
        </w:rPr>
        <w:t>年7月1日-20</w:t>
      </w:r>
      <w:r>
        <w:rPr>
          <w:rFonts w:hint="eastAsia" w:ascii="楷体_GB2312" w:hAnsi="楷体_GB2312" w:eastAsia="楷体_GB2312" w:cs="楷体_GB2312"/>
          <w:sz w:val="32"/>
          <w:szCs w:val="32"/>
          <w:highlight w:val="none"/>
          <w:lang w:val="en-US" w:eastAsia="zh-CN"/>
        </w:rPr>
        <w:t>21</w:t>
      </w:r>
      <w:r>
        <w:rPr>
          <w:rFonts w:hint="eastAsia" w:ascii="楷体_GB2312" w:hAnsi="楷体_GB2312" w:eastAsia="楷体_GB2312" w:cs="楷体_GB2312"/>
          <w:sz w:val="32"/>
          <w:szCs w:val="32"/>
          <w:highlight w:val="none"/>
        </w:rPr>
        <w:t>年12月31日）</w:t>
      </w:r>
      <w:r>
        <w:rPr>
          <w:rFonts w:hint="eastAsia" w:ascii="仿宋_GB2312" w:hAnsi="仿宋_GB2312" w:eastAsia="仿宋_GB2312" w:cs="仿宋_GB2312"/>
          <w:sz w:val="32"/>
          <w:szCs w:val="32"/>
        </w:rPr>
        <w:t>。8月底完成《调整方案》的制定，加快全部项目的建设和实施。202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年要在巩固拓展脱贫攻坚成果的基础上，全面推进乡村振兴战略深入实施，接续推动</w:t>
      </w:r>
      <w:r>
        <w:rPr>
          <w:rFonts w:hint="eastAsia" w:ascii="仿宋_GB2312" w:hAnsi="仿宋_GB2312" w:eastAsia="仿宋_GB2312" w:cs="仿宋_GB2312"/>
          <w:sz w:val="32"/>
          <w:szCs w:val="32"/>
          <w:lang w:val="en-US" w:eastAsia="zh-CN"/>
        </w:rPr>
        <w:t>乡村</w:t>
      </w:r>
      <w:r>
        <w:rPr>
          <w:rFonts w:hint="eastAsia" w:ascii="仿宋_GB2312" w:hAnsi="仿宋_GB2312" w:eastAsia="仿宋_GB2312" w:cs="仿宋_GB2312"/>
          <w:sz w:val="32"/>
          <w:szCs w:val="32"/>
        </w:rPr>
        <w:t>发展和群众生活改善，向共同富裕目标迈进。所有项目必须抓紧实施，在完成自验的基础上，迎接上级全面验收，对发现的问题及时整改，并认真总结全年整合资金</w:t>
      </w:r>
      <w:r>
        <w:rPr>
          <w:rFonts w:hint="eastAsia" w:ascii="仿宋_GB2312" w:hAnsi="仿宋_GB2312" w:eastAsia="仿宋_GB2312" w:cs="仿宋_GB2312"/>
          <w:sz w:val="32"/>
          <w:szCs w:val="32"/>
          <w:lang w:eastAsia="zh-CN"/>
        </w:rPr>
        <w:t>的使用</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六</w:t>
      </w:r>
      <w:r>
        <w:rPr>
          <w:rFonts w:hint="eastAsia" w:ascii="黑体" w:hAnsi="黑体" w:eastAsia="黑体" w:cs="黑体"/>
          <w:sz w:val="32"/>
          <w:szCs w:val="32"/>
        </w:rPr>
        <w:t>、</w:t>
      </w:r>
      <w:r>
        <w:rPr>
          <w:rFonts w:hint="eastAsia" w:ascii="黑体" w:hAnsi="黑体" w:eastAsia="黑体" w:cs="黑体"/>
          <w:sz w:val="32"/>
          <w:szCs w:val="32"/>
          <w:lang w:eastAsia="zh-CN"/>
        </w:rPr>
        <w:t>工作要求</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ascii="仿宋_GB2312" w:hAnsi="宋体" w:eastAsia="仿宋_GB2312" w:cs="宋体"/>
          <w:color w:val="000000"/>
          <w:kern w:val="0"/>
          <w:sz w:val="32"/>
          <w:szCs w:val="32"/>
          <w:lang w:val="en-US" w:eastAsia="zh-CN"/>
        </w:rPr>
      </w:pPr>
      <w:r>
        <w:rPr>
          <w:rFonts w:hint="eastAsia" w:ascii="楷体_GB2312" w:hAnsi="宋体" w:eastAsia="楷体_GB2312" w:cs="宋体"/>
          <w:b w:val="0"/>
          <w:bCs/>
          <w:color w:val="000000"/>
          <w:kern w:val="0"/>
          <w:sz w:val="32"/>
          <w:szCs w:val="32"/>
          <w:lang w:val="en-US" w:eastAsia="zh-CN"/>
        </w:rPr>
        <w:t>（一）加强组织领导。</w:t>
      </w:r>
      <w:r>
        <w:rPr>
          <w:rFonts w:hint="eastAsia" w:ascii="仿宋_GB2312" w:hAnsi="宋体" w:eastAsia="仿宋_GB2312" w:cs="宋体"/>
          <w:color w:val="000000"/>
          <w:kern w:val="0"/>
          <w:sz w:val="32"/>
          <w:szCs w:val="32"/>
          <w:lang w:val="en-US" w:eastAsia="zh-CN"/>
        </w:rPr>
        <w:t>成立以县政府分管领导为组长，乡村振兴、农业、财政、自然资源、审计、畜牧等单位主要负责人为成员的领导小组，</w:t>
      </w:r>
      <w:r>
        <w:rPr>
          <w:rFonts w:ascii="仿宋_GB2312" w:hAnsi="宋体" w:eastAsia="仿宋_GB2312" w:cs="宋体"/>
          <w:color w:val="000000"/>
          <w:kern w:val="0"/>
          <w:sz w:val="32"/>
          <w:szCs w:val="32"/>
        </w:rPr>
        <w:t>认真研究部署，稳妥推进</w:t>
      </w:r>
      <w:r>
        <w:rPr>
          <w:rFonts w:hint="eastAsia" w:ascii="仿宋_GB2312" w:hAnsi="宋体" w:eastAsia="仿宋_GB2312" w:cs="宋体"/>
          <w:color w:val="000000"/>
          <w:kern w:val="0"/>
          <w:sz w:val="32"/>
          <w:szCs w:val="32"/>
          <w:lang w:val="en-US" w:eastAsia="zh-CN"/>
        </w:rPr>
        <w:t>落实</w:t>
      </w:r>
      <w:r>
        <w:rPr>
          <w:rFonts w:hint="eastAsia" w:ascii="仿宋_GB2312" w:hAnsi="宋体" w:eastAsia="仿宋_GB2312" w:cs="宋体"/>
          <w:color w:val="000000"/>
          <w:kern w:val="0"/>
          <w:sz w:val="32"/>
          <w:szCs w:val="32"/>
        </w:rPr>
        <w:t>，</w:t>
      </w:r>
      <w:r>
        <w:rPr>
          <w:rFonts w:hint="eastAsia" w:ascii="仿宋_GB2312" w:hAnsi="宋体" w:eastAsia="仿宋_GB2312" w:cs="宋体"/>
          <w:color w:val="000000"/>
          <w:kern w:val="0"/>
          <w:sz w:val="32"/>
          <w:szCs w:val="32"/>
          <w:lang w:val="en-US" w:eastAsia="zh-CN"/>
        </w:rPr>
        <w:t>及时解决工作中遇到的困难和问题。同时，从各行业部门抽调专人组成联合督查组，及时深入农户、企业开展摸底调查、监督验收，确保项目实施全过程有人管事、有人负责。</w:t>
      </w:r>
    </w:p>
    <w:p>
      <w:pPr>
        <w:pStyle w:val="3"/>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textAlignment w:val="auto"/>
        <w:rPr>
          <w:rFonts w:hint="eastAsia" w:ascii="仿宋_GB2312" w:hAnsi="宋体" w:eastAsia="仿宋_GB2312" w:cs="宋体"/>
          <w:b w:val="0"/>
          <w:bCs w:val="0"/>
          <w:color w:val="000000"/>
          <w:kern w:val="0"/>
          <w:lang w:bidi="th-TH"/>
        </w:rPr>
      </w:pPr>
      <w:r>
        <w:rPr>
          <w:rFonts w:hint="eastAsia" w:ascii="楷体_GB2312" w:hAnsi="宋体" w:eastAsia="楷体_GB2312" w:cs="宋体"/>
          <w:b w:val="0"/>
          <w:bCs/>
          <w:color w:val="000000"/>
          <w:kern w:val="0"/>
          <w:sz w:val="32"/>
          <w:szCs w:val="32"/>
          <w:lang w:val="en-US" w:eastAsia="zh-CN"/>
        </w:rPr>
        <w:t>（二）严格责任落实。</w:t>
      </w:r>
      <w:r>
        <w:rPr>
          <w:rFonts w:hint="eastAsia" w:ascii="仿宋_GB2312" w:hAnsi="宋体" w:eastAsia="仿宋_GB2312" w:cs="宋体"/>
          <w:b w:val="0"/>
          <w:bCs w:val="0"/>
          <w:color w:val="000000"/>
          <w:kern w:val="0"/>
          <w:lang w:val="en-US" w:eastAsia="zh-CN" w:bidi="th-TH"/>
        </w:rPr>
        <w:t>各相关行业部门要严格责任落实，层层把关负责。各牵头单位主要负责人负领导责任，具体核查验收人员负直接责任，享受奖补资金的经营主体负主体责任。</w:t>
      </w:r>
    </w:p>
    <w:p>
      <w:pPr>
        <w:pStyle w:val="3"/>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textAlignment w:val="auto"/>
        <w:rPr>
          <w:rFonts w:hint="eastAsia" w:ascii="仿宋_GB2312" w:hAnsi="宋体" w:eastAsia="仿宋_GB2312" w:cs="宋体"/>
          <w:b w:val="0"/>
          <w:bCs w:val="0"/>
          <w:color w:val="000000"/>
          <w:kern w:val="0"/>
          <w:lang w:eastAsia="zh-CN" w:bidi="th-TH"/>
        </w:rPr>
      </w:pPr>
      <w:r>
        <w:rPr>
          <w:rFonts w:hint="eastAsia" w:ascii="楷体_GB2312" w:hAnsi="宋体" w:eastAsia="楷体_GB2312" w:cs="宋体"/>
          <w:b w:val="0"/>
          <w:bCs/>
          <w:color w:val="000000"/>
          <w:kern w:val="0"/>
          <w:sz w:val="32"/>
          <w:szCs w:val="32"/>
          <w:lang w:val="en-US" w:eastAsia="zh-CN" w:bidi="th-TH"/>
        </w:rPr>
        <w:t>（三）加强资金监管。</w:t>
      </w:r>
      <w:r>
        <w:rPr>
          <w:rFonts w:ascii="仿宋_GB2312" w:hAnsi="宋体" w:eastAsia="仿宋_GB2312" w:cs="宋体"/>
          <w:b w:val="0"/>
          <w:bCs w:val="0"/>
          <w:color w:val="000000"/>
          <w:kern w:val="0"/>
          <w:lang w:bidi="th-TH"/>
        </w:rPr>
        <w:t>加强资金的管理，实行专款专用</w:t>
      </w:r>
      <w:r>
        <w:rPr>
          <w:rFonts w:hint="eastAsia" w:ascii="仿宋_GB2312" w:hAnsi="宋体" w:eastAsia="仿宋_GB2312" w:cs="宋体"/>
          <w:b w:val="0"/>
          <w:bCs w:val="0"/>
          <w:color w:val="000000"/>
          <w:kern w:val="0"/>
          <w:lang w:eastAsia="zh-CN" w:bidi="th-TH"/>
        </w:rPr>
        <w:t>、</w:t>
      </w:r>
      <w:r>
        <w:rPr>
          <w:rFonts w:ascii="仿宋_GB2312" w:hAnsi="宋体" w:eastAsia="仿宋_GB2312" w:cs="宋体"/>
          <w:b w:val="0"/>
          <w:bCs w:val="0"/>
          <w:color w:val="000000"/>
          <w:kern w:val="0"/>
          <w:lang w:bidi="th-TH"/>
        </w:rPr>
        <w:t>专账核算</w:t>
      </w:r>
      <w:r>
        <w:rPr>
          <w:rFonts w:hint="eastAsia" w:ascii="仿宋_GB2312" w:hAnsi="宋体" w:eastAsia="仿宋_GB2312" w:cs="宋体"/>
          <w:b w:val="0"/>
          <w:bCs w:val="0"/>
          <w:color w:val="000000"/>
          <w:kern w:val="0"/>
          <w:lang w:eastAsia="zh-CN" w:bidi="th-TH"/>
        </w:rPr>
        <w:t>、</w:t>
      </w:r>
      <w:r>
        <w:rPr>
          <w:rFonts w:ascii="仿宋_GB2312" w:hAnsi="宋体" w:eastAsia="仿宋_GB2312" w:cs="宋体"/>
          <w:b w:val="0"/>
          <w:bCs w:val="0"/>
          <w:color w:val="000000"/>
          <w:kern w:val="0"/>
          <w:lang w:bidi="th-TH"/>
        </w:rPr>
        <w:t>专人审批，严禁截留、挤占和挪用资金</w:t>
      </w:r>
      <w:r>
        <w:rPr>
          <w:rFonts w:hint="eastAsia" w:ascii="仿宋_GB2312" w:hAnsi="宋体" w:eastAsia="仿宋_GB2312" w:cs="宋体"/>
          <w:b w:val="0"/>
          <w:bCs w:val="0"/>
          <w:color w:val="000000"/>
          <w:kern w:val="0"/>
          <w:lang w:bidi="th-TH"/>
        </w:rPr>
        <w:t>，</w:t>
      </w:r>
      <w:r>
        <w:rPr>
          <w:rFonts w:ascii="仿宋_GB2312" w:hAnsi="宋体" w:eastAsia="仿宋_GB2312" w:cs="宋体"/>
          <w:b w:val="0"/>
          <w:bCs w:val="0"/>
          <w:color w:val="000000"/>
          <w:kern w:val="0"/>
          <w:lang w:bidi="th-TH"/>
        </w:rPr>
        <w:t>确</w:t>
      </w:r>
      <w:r>
        <w:rPr>
          <w:rFonts w:hint="eastAsia" w:ascii="仿宋_GB2312" w:hAnsi="宋体" w:eastAsia="仿宋_GB2312" w:cs="宋体"/>
          <w:b w:val="0"/>
          <w:bCs w:val="0"/>
          <w:color w:val="000000"/>
          <w:kern w:val="0"/>
          <w:lang w:bidi="th-TH"/>
        </w:rPr>
        <w:t>保资金规范使用。对套取资金的单位或个人</w:t>
      </w:r>
      <w:r>
        <w:rPr>
          <w:rFonts w:hint="eastAsia" w:ascii="仿宋_GB2312" w:hAnsi="宋体" w:eastAsia="仿宋_GB2312" w:cs="宋体"/>
          <w:b w:val="0"/>
          <w:bCs w:val="0"/>
          <w:color w:val="000000"/>
          <w:kern w:val="0"/>
          <w:lang w:eastAsia="zh-CN" w:bidi="th-TH"/>
        </w:rPr>
        <w:t>，</w:t>
      </w:r>
      <w:r>
        <w:rPr>
          <w:rFonts w:hint="eastAsia" w:ascii="仿宋_GB2312" w:hAnsi="宋体" w:eastAsia="仿宋_GB2312" w:cs="宋体"/>
          <w:b w:val="0"/>
          <w:bCs w:val="0"/>
          <w:color w:val="000000"/>
          <w:kern w:val="0"/>
          <w:lang w:bidi="th-TH"/>
        </w:rPr>
        <w:t>一经发现</w:t>
      </w:r>
      <w:r>
        <w:rPr>
          <w:rFonts w:hint="eastAsia" w:ascii="仿宋_GB2312" w:hAnsi="宋体" w:eastAsia="仿宋_GB2312" w:cs="宋体"/>
          <w:b w:val="0"/>
          <w:bCs w:val="0"/>
          <w:color w:val="000000"/>
          <w:kern w:val="0"/>
          <w:lang w:eastAsia="zh-CN" w:bidi="th-TH"/>
        </w:rPr>
        <w:t>要严肃</w:t>
      </w:r>
      <w:r>
        <w:rPr>
          <w:rFonts w:hint="eastAsia" w:ascii="仿宋_GB2312" w:hAnsi="宋体" w:eastAsia="仿宋_GB2312" w:cs="宋体"/>
          <w:b w:val="0"/>
          <w:bCs w:val="0"/>
          <w:color w:val="000000"/>
          <w:kern w:val="0"/>
          <w:lang w:bidi="th-TH"/>
        </w:rPr>
        <w:t>追究相关人员的责任</w:t>
      </w:r>
      <w:r>
        <w:rPr>
          <w:rFonts w:hint="eastAsia" w:ascii="仿宋_GB2312" w:hAnsi="宋体" w:eastAsia="仿宋_GB2312" w:cs="宋体"/>
          <w:b w:val="0"/>
          <w:bCs w:val="0"/>
          <w:color w:val="000000"/>
          <w:kern w:val="0"/>
          <w:lang w:eastAsia="zh-CN" w:bidi="th-TH"/>
        </w:rPr>
        <w:t>。</w:t>
      </w:r>
    </w:p>
    <w:p>
      <w:pPr>
        <w:pStyle w:val="3"/>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200"/>
        <w:textAlignment w:val="auto"/>
        <w:rPr>
          <w:rFonts w:hint="eastAsia" w:ascii="仿宋_GB2312" w:hAnsi="宋体" w:eastAsia="仿宋_GB2312" w:cs="宋体"/>
          <w:b w:val="0"/>
          <w:bCs w:val="0"/>
          <w:color w:val="000000"/>
          <w:kern w:val="0"/>
          <w:lang w:val="en-US" w:eastAsia="zh-CN" w:bidi="th-TH"/>
        </w:rPr>
      </w:pPr>
      <w:r>
        <w:rPr>
          <w:rFonts w:hint="eastAsia" w:ascii="楷体_GB2312" w:hAnsi="宋体" w:eastAsia="楷体_GB2312" w:cs="宋体"/>
          <w:b w:val="0"/>
          <w:bCs/>
          <w:color w:val="000000"/>
          <w:kern w:val="0"/>
          <w:sz w:val="32"/>
          <w:szCs w:val="32"/>
          <w:lang w:val="en-US" w:eastAsia="zh-CN" w:bidi="th-TH"/>
        </w:rPr>
        <w:t>（四）突出绩效目标。</w:t>
      </w:r>
      <w:r>
        <w:rPr>
          <w:rFonts w:hint="eastAsia" w:ascii="仿宋_GB2312" w:hAnsi="宋体" w:eastAsia="仿宋_GB2312" w:cs="宋体"/>
          <w:b w:val="0"/>
          <w:bCs w:val="0"/>
          <w:color w:val="000000"/>
          <w:kern w:val="0"/>
          <w:lang w:bidi="th-TH"/>
        </w:rPr>
        <w:t>以</w:t>
      </w:r>
      <w:r>
        <w:rPr>
          <w:rFonts w:hint="eastAsia" w:ascii="仿宋_GB2312" w:hAnsi="宋体" w:eastAsia="仿宋_GB2312" w:cs="宋体"/>
          <w:b w:val="0"/>
          <w:bCs w:val="0"/>
          <w:color w:val="000000"/>
          <w:kern w:val="0"/>
          <w:lang w:val="en-US" w:eastAsia="zh-CN" w:bidi="th-TH"/>
        </w:rPr>
        <w:t>8</w:t>
      </w:r>
      <w:r>
        <w:rPr>
          <w:rFonts w:hint="eastAsia" w:ascii="仿宋_GB2312" w:hAnsi="宋体" w:eastAsia="仿宋_GB2312" w:cs="宋体"/>
          <w:b w:val="0"/>
          <w:bCs w:val="0"/>
          <w:color w:val="000000"/>
          <w:kern w:val="0"/>
          <w:lang w:bidi="th-TH"/>
        </w:rPr>
        <w:t>个乡镇1个风景名胜区为主战场，</w:t>
      </w:r>
      <w:r>
        <w:rPr>
          <w:rFonts w:hint="eastAsia" w:ascii="仿宋_GB2312" w:hAnsi="宋体" w:eastAsia="仿宋_GB2312" w:cs="宋体"/>
          <w:b w:val="0"/>
          <w:bCs w:val="0"/>
          <w:color w:val="000000"/>
          <w:kern w:val="0"/>
          <w:lang w:val="en-US" w:eastAsia="zh-CN" w:bidi="th-TH"/>
        </w:rPr>
        <w:t>以守好底攀高峰为重点内容，全力做好防返贫动态监测和集中帮扶工作，切实守住守好规模性返贫底线；积极助力</w:t>
      </w:r>
      <w:r>
        <w:rPr>
          <w:rFonts w:hint="eastAsia" w:ascii="仿宋_GB2312" w:hAnsi="宋体" w:eastAsia="仿宋_GB2312" w:cs="宋体"/>
          <w:b w:val="0"/>
          <w:bCs w:val="0"/>
          <w:color w:val="000000"/>
          <w:kern w:val="0"/>
          <w:lang w:bidi="th-TH"/>
        </w:rPr>
        <w:t>乡村产业全面振兴</w:t>
      </w:r>
      <w:r>
        <w:rPr>
          <w:rFonts w:hint="eastAsia" w:ascii="仿宋_GB2312" w:hAnsi="宋体" w:eastAsia="仿宋_GB2312" w:cs="宋体"/>
          <w:b w:val="0"/>
          <w:bCs w:val="0"/>
          <w:color w:val="000000"/>
          <w:kern w:val="0"/>
          <w:lang w:eastAsia="zh-CN" w:bidi="th-TH"/>
        </w:rPr>
        <w:t>，</w:t>
      </w:r>
      <w:r>
        <w:rPr>
          <w:rFonts w:hint="eastAsia" w:ascii="仿宋_GB2312" w:hAnsi="宋体" w:eastAsia="仿宋_GB2312" w:cs="宋体"/>
          <w:b w:val="0"/>
          <w:bCs w:val="0"/>
          <w:color w:val="000000"/>
          <w:kern w:val="0"/>
          <w:lang w:val="en-US" w:eastAsia="zh-CN" w:bidi="th-TH"/>
        </w:rPr>
        <w:t>加快农业基础产业发展、实施高标准农田建设、培植新的产业业态、完善产业配套设施、农产品品牌提升行动，扎实开展农村人居环境整治、</w:t>
      </w:r>
      <w:r>
        <w:rPr>
          <w:rFonts w:hint="eastAsia" w:ascii="仿宋_GB2312" w:hAnsi="宋体" w:eastAsia="仿宋_GB2312" w:cs="宋体"/>
          <w:b w:val="0"/>
          <w:bCs w:val="0"/>
          <w:color w:val="000000"/>
          <w:kern w:val="0"/>
          <w:lang w:val="en-US" w:eastAsia="zh-CN" w:bidi="th-TH"/>
        </w:rPr>
        <w:fldChar w:fldCharType="begin"/>
      </w:r>
      <w:r>
        <w:rPr>
          <w:rFonts w:hint="eastAsia" w:ascii="仿宋_GB2312" w:hAnsi="宋体" w:eastAsia="仿宋_GB2312" w:cs="宋体"/>
          <w:b w:val="0"/>
          <w:bCs w:val="0"/>
          <w:color w:val="000000"/>
          <w:kern w:val="0"/>
          <w:lang w:val="en-US" w:eastAsia="zh-CN" w:bidi="th-TH"/>
        </w:rPr>
        <w:instrText xml:space="preserve"> HYPERLINK "http://www.so.com/s?q=%E5%86%9C%E6%9D%91%E5%85%AC%E8%B7%AF&amp;ie=utf-8&amp;src=internal_wenda_recommend_textn" \t "_blank" </w:instrText>
      </w:r>
      <w:r>
        <w:rPr>
          <w:rFonts w:hint="eastAsia" w:ascii="仿宋_GB2312" w:hAnsi="宋体" w:eastAsia="仿宋_GB2312" w:cs="宋体"/>
          <w:b w:val="0"/>
          <w:bCs w:val="0"/>
          <w:color w:val="000000"/>
          <w:kern w:val="0"/>
          <w:lang w:val="en-US" w:eastAsia="zh-CN" w:bidi="th-TH"/>
        </w:rPr>
        <w:fldChar w:fldCharType="separate"/>
      </w:r>
      <w:r>
        <w:rPr>
          <w:rFonts w:hint="eastAsia" w:ascii="仿宋_GB2312" w:hAnsi="宋体" w:eastAsia="仿宋_GB2312" w:cs="宋体"/>
          <w:b w:val="0"/>
          <w:bCs w:val="0"/>
          <w:color w:val="000000"/>
          <w:kern w:val="0"/>
          <w:lang w:val="en-US" w:eastAsia="zh-CN" w:bidi="th-TH"/>
        </w:rPr>
        <w:t>农村公路</w:t>
      </w:r>
      <w:r>
        <w:rPr>
          <w:rFonts w:hint="eastAsia" w:ascii="仿宋_GB2312" w:hAnsi="宋体" w:eastAsia="仿宋_GB2312" w:cs="宋体"/>
          <w:b w:val="0"/>
          <w:bCs w:val="0"/>
          <w:color w:val="000000"/>
          <w:kern w:val="0"/>
          <w:lang w:val="en-US" w:eastAsia="zh-CN" w:bidi="th-TH"/>
        </w:rPr>
        <w:fldChar w:fldCharType="end"/>
      </w:r>
      <w:r>
        <w:rPr>
          <w:rFonts w:hint="eastAsia" w:ascii="仿宋_GB2312" w:hAnsi="宋体" w:eastAsia="仿宋_GB2312" w:cs="宋体"/>
          <w:b w:val="0"/>
          <w:bCs w:val="0"/>
          <w:color w:val="000000"/>
          <w:kern w:val="0"/>
          <w:lang w:val="en-US" w:eastAsia="zh-CN" w:bidi="th-TH"/>
        </w:rPr>
        <w:t>的建设、农村饮水安全提升行动，改善农业农村生产</w:t>
      </w:r>
      <w:r>
        <w:rPr>
          <w:rFonts w:hint="eastAsia" w:ascii="仿宋_GB2312" w:hAnsi="宋体" w:eastAsia="仿宋_GB2312" w:cs="宋体"/>
          <w:b w:val="0"/>
          <w:bCs w:val="0"/>
          <w:color w:val="000000"/>
          <w:kern w:val="0"/>
          <w:lang w:val="en-US" w:eastAsia="zh-CN" w:bidi="th-TH"/>
        </w:rPr>
        <w:fldChar w:fldCharType="begin"/>
      </w:r>
      <w:r>
        <w:rPr>
          <w:rFonts w:hint="eastAsia" w:ascii="仿宋_GB2312" w:hAnsi="宋体" w:eastAsia="仿宋_GB2312" w:cs="宋体"/>
          <w:b w:val="0"/>
          <w:bCs w:val="0"/>
          <w:color w:val="000000"/>
          <w:kern w:val="0"/>
          <w:lang w:val="en-US" w:eastAsia="zh-CN" w:bidi="th-TH"/>
        </w:rPr>
        <w:instrText xml:space="preserve"> HYPERLINK "http://www.so.com/s?q=%E7%94%9F%E6%B4%BB%E6%B0%B4%E5%B9%B3&amp;ie=utf-8&amp;src=internal_wenda_recommend_textn" \t "_blank" </w:instrText>
      </w:r>
      <w:r>
        <w:rPr>
          <w:rFonts w:hint="eastAsia" w:ascii="仿宋_GB2312" w:hAnsi="宋体" w:eastAsia="仿宋_GB2312" w:cs="宋体"/>
          <w:b w:val="0"/>
          <w:bCs w:val="0"/>
          <w:color w:val="000000"/>
          <w:kern w:val="0"/>
          <w:lang w:val="en-US" w:eastAsia="zh-CN" w:bidi="th-TH"/>
        </w:rPr>
        <w:fldChar w:fldCharType="separate"/>
      </w:r>
      <w:r>
        <w:rPr>
          <w:rFonts w:hint="eastAsia" w:ascii="仿宋_GB2312" w:hAnsi="宋体" w:eastAsia="仿宋_GB2312" w:cs="宋体"/>
          <w:b w:val="0"/>
          <w:bCs w:val="0"/>
          <w:color w:val="000000"/>
          <w:kern w:val="0"/>
          <w:lang w:val="en-US" w:eastAsia="zh-CN" w:bidi="th-TH"/>
        </w:rPr>
        <w:t>生活质量</w:t>
      </w:r>
      <w:r>
        <w:rPr>
          <w:rFonts w:hint="eastAsia" w:ascii="仿宋_GB2312" w:hAnsi="宋体" w:eastAsia="仿宋_GB2312" w:cs="宋体"/>
          <w:b w:val="0"/>
          <w:bCs w:val="0"/>
          <w:color w:val="000000"/>
          <w:kern w:val="0"/>
          <w:lang w:val="en-US" w:eastAsia="zh-CN" w:bidi="th-TH"/>
        </w:rPr>
        <w:fldChar w:fldCharType="end"/>
      </w:r>
      <w:r>
        <w:rPr>
          <w:rFonts w:hint="eastAsia" w:ascii="仿宋_GB2312" w:hAnsi="宋体" w:eastAsia="仿宋_GB2312" w:cs="宋体"/>
          <w:b w:val="0"/>
          <w:bCs w:val="0"/>
          <w:color w:val="000000"/>
          <w:kern w:val="0"/>
          <w:lang w:val="en-US" w:eastAsia="zh-CN" w:bidi="th-TH"/>
        </w:rPr>
        <w:t>。</w:t>
      </w: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ind w:left="1598" w:leftChars="304" w:hanging="960" w:hangingChars="300"/>
        <w:rPr>
          <w:rFonts w:hint="eastAsia" w:ascii="仿宋_GB2312" w:hAnsi="宋体" w:eastAsia="仿宋_GB2312" w:cs="宋体"/>
          <w:b w:val="0"/>
          <w:bCs w:val="0"/>
          <w:color w:val="000000"/>
          <w:kern w:val="0"/>
          <w:lang w:val="en-US" w:eastAsia="zh-CN" w:bidi="th-TH"/>
        </w:rPr>
      </w:pPr>
      <w:r>
        <w:rPr>
          <w:rFonts w:hint="eastAsia" w:ascii="仿宋_GB2312" w:hAnsi="仿宋_GB2312" w:eastAsia="仿宋_GB2312" w:cs="仿宋_GB2312"/>
          <w:b w:val="0"/>
          <w:bCs w:val="0"/>
          <w:color w:val="000000"/>
          <w:kern w:val="0"/>
          <w:sz w:val="32"/>
          <w:szCs w:val="32"/>
          <w:lang w:val="en-US" w:eastAsia="zh-CN" w:bidi="th-TH"/>
        </w:rPr>
        <w:t>附件：</w:t>
      </w:r>
      <w:r>
        <w:rPr>
          <w:rFonts w:hint="eastAsia" w:ascii="仿宋_GB2312" w:hAnsi="仿宋_GB2312" w:eastAsia="仿宋_GB2312" w:cs="仿宋_GB2312"/>
          <w:b w:val="0"/>
          <w:bCs w:val="0"/>
          <w:i w:val="0"/>
          <w:color w:val="000000"/>
          <w:kern w:val="0"/>
          <w:sz w:val="32"/>
          <w:szCs w:val="32"/>
          <w:u w:val="none"/>
          <w:lang w:val="en-US" w:eastAsia="zh-CN" w:bidi="ar"/>
        </w:rPr>
        <w:t>右玉县2021年整合财政资金衔接推进乡村振兴项目计划表</w:t>
      </w: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lang w:val="en-US" w:eastAsia="zh-CN"/>
        </w:rPr>
      </w:pPr>
    </w:p>
    <w:p>
      <w:pPr>
        <w:pStyle w:val="2"/>
        <w:ind w:left="0" w:leftChars="0" w:firstLine="0" w:firstLineChars="0"/>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sectPr>
          <w:footerReference r:id="rId3" w:type="default"/>
          <w:footerReference r:id="rId4" w:type="even"/>
          <w:pgSz w:w="11906" w:h="16838"/>
          <w:pgMar w:top="1871" w:right="1417" w:bottom="1417" w:left="1417" w:header="851" w:footer="992" w:gutter="0"/>
          <w:cols w:space="0" w:num="1"/>
          <w:rtlGutter w:val="0"/>
          <w:docGrid w:type="lines" w:linePitch="323" w:charSpace="0"/>
        </w:sectPr>
      </w:pPr>
    </w:p>
    <w:p>
      <w:pPr>
        <w:pStyle w:val="2"/>
        <w:rPr>
          <w:rFonts w:hint="eastAsia"/>
          <w:lang w:val="en-US" w:eastAsia="zh-CN"/>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pStyle w:val="2"/>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rPr>
          <w:rFonts w:hint="eastAsia" w:ascii="仿宋_GB2312" w:hAnsi="宋体" w:eastAsia="仿宋_GB2312" w:cs="宋体"/>
          <w:b w:val="0"/>
          <w:bCs w:val="0"/>
          <w:color w:val="000000"/>
          <w:kern w:val="0"/>
          <w:lang w:val="en-US" w:eastAsia="zh-CN" w:bidi="th-TH"/>
        </w:rPr>
      </w:pPr>
    </w:p>
    <w:p>
      <w:pPr>
        <w:ind w:left="1119" w:leftChars="133" w:hanging="840" w:hangingChars="300"/>
        <w:rPr>
          <w:rFonts w:hint="eastAsia" w:ascii="仿宋_GB2312" w:hAnsi="仿宋_GB2312" w:eastAsia="仿宋_GB2312" w:cs="仿宋_GB2312"/>
          <w:sz w:val="28"/>
          <w:szCs w:val="36"/>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33655</wp:posOffset>
                </wp:positionV>
                <wp:extent cx="5615940" cy="0"/>
                <wp:effectExtent l="0" t="0" r="0" b="0"/>
                <wp:wrapNone/>
                <wp:docPr id="2" name="直接连接符 2"/>
                <wp:cNvGraphicFramePr/>
                <a:graphic xmlns:a="http://schemas.openxmlformats.org/drawingml/2006/main">
                  <a:graphicData uri="http://schemas.microsoft.com/office/word/2010/wordprocessingShape">
                    <wps:wsp>
                      <wps:cNvCnPr/>
                      <wps:spPr>
                        <a:xfrm>
                          <a:off x="899160" y="8400415"/>
                          <a:ext cx="56159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7pt;margin-top:2.65pt;height:0pt;width:442.2pt;z-index:251659264;mso-width-relative:page;mso-height-relative:page;" filled="f" stroked="t" coordsize="21600,21600" o:gfxdata="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ee1A79UAAAAGAQAADwAAAAAAAAABACAAAAAiAAAAZHJzL2Rvd25yZXYueG1sUEsBAhQAFAAAAAgA&#10;h07iQEjH29zvAQAAvQMAAA4AAAAAAAAAAQAgAAAAJAEAAGRycy9lMm9Eb2MueG1sUEsFBgAAAAAG&#10;AAYAWQEAAIUFAAAAAA==&#10;">
                <v:fill on="f" focussize="0,0"/>
                <v:stroke weight="1pt" color="#000000 [3213]" miterlimit="8" joinstyle="miter"/>
                <v:imagedata o:title=""/>
                <o:lock v:ext="edit" aspectratio="f"/>
              </v:line>
            </w:pict>
          </mc:Fallback>
        </mc:AlternateContent>
      </w:r>
      <w:r>
        <w:rPr>
          <w:rFonts w:hint="eastAsia" w:ascii="仿宋_GB2312" w:hAnsi="仿宋_GB2312" w:eastAsia="仿宋_GB2312" w:cs="仿宋_GB2312"/>
          <w:sz w:val="28"/>
          <w:szCs w:val="36"/>
          <w:lang w:val="en-US" w:eastAsia="zh-CN"/>
        </w:rPr>
        <w:t>抄送：市政府办公室，县委办、县人大常委会办公室、县政协办公室、县法院、县检察院、各人民团体、新闻媒体。</w:t>
      </w:r>
    </w:p>
    <w:p>
      <w:pPr>
        <w:pStyle w:val="2"/>
        <w:ind w:left="0" w:leftChars="0" w:firstLine="280" w:firstLineChars="100"/>
        <w:rPr>
          <w:rFonts w:hint="eastAsia" w:ascii="仿宋_GB2312" w:hAnsi="仿宋_GB2312" w:eastAsia="仿宋_GB2312" w:cs="仿宋_GB2312"/>
          <w:sz w:val="28"/>
          <w:szCs w:val="36"/>
          <w:lang w:val="en-US" w:eastAsia="zh-CN"/>
        </w:rPr>
      </w:pPr>
      <w:r>
        <w:rPr>
          <w:sz w:val="28"/>
        </w:rPr>
        <mc:AlternateContent>
          <mc:Choice Requires="wps">
            <w:drawing>
              <wp:anchor distT="0" distB="0" distL="114300" distR="114300" simplePos="0" relativeHeight="251661312" behindDoc="0" locked="0" layoutInCell="1" allowOverlap="1">
                <wp:simplePos x="0" y="0"/>
                <wp:positionH relativeFrom="column">
                  <wp:posOffset>72390</wp:posOffset>
                </wp:positionH>
                <wp:positionV relativeFrom="paragraph">
                  <wp:posOffset>38100</wp:posOffset>
                </wp:positionV>
                <wp:extent cx="561594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1594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7pt;margin-top:3pt;height:0pt;width:442.2pt;z-index:251661312;mso-width-relative:page;mso-height-relative:page;" filled="f" stroked="t" coordsize="21600,21600" o:gfxdata="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5ck3StUAAAAGAQAA&#10;DwAAAAAAAAABACAAAAAiAAAAZHJzL2Rvd25yZXYueG1sUEsBAhQAFAAAAAgAh07iQC7mJLHjAQAA&#10;sQMAAA4AAAAAAAAAAQAgAAAAJAEAAGRycy9lMm9Eb2MueG1sUEsFBgAAAAAGAAYAWQEAAHkFAAAA&#10;AA==&#10;">
                <v:fill on="f" focussize="0,0"/>
                <v:stroke color="#000000 [3213]" miterlimit="8" joinstyle="miter"/>
                <v:imagedata o:title=""/>
                <o:lock v:ext="edit" aspectratio="f"/>
              </v:lin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column">
                  <wp:posOffset>72390</wp:posOffset>
                </wp:positionH>
                <wp:positionV relativeFrom="paragraph">
                  <wp:posOffset>357505</wp:posOffset>
                </wp:positionV>
                <wp:extent cx="561594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159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7pt;margin-top:28.15pt;height:0pt;width:442.2pt;z-index:251660288;mso-width-relative:page;mso-height-relative:page;" filled="f" stroked="t" coordsize="21600,21600" o:gfxdata="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3feSA1wAAAAgB&#10;AAAPAAAAAAAAAAEAIAAAACIAAABkcnMvZG93bnJldi54bWxQSwECFAAUAAAACACHTuJACycsO+MB&#10;AACyAwAADgAAAAAAAAABACAAAAAmAQAAZHJzL2Uyb0RvYy54bWxQSwUGAAAAAAYABgBZAQAAewUA&#10;AAAA&#10;">
                <v:fill on="f" focussize="0,0"/>
                <v:stroke weight="1pt" color="#000000 [3213]" miterlimit="8" joinstyle="miter"/>
                <v:imagedata o:title=""/>
                <o:lock v:ext="edit" aspectratio="f"/>
              </v:line>
            </w:pict>
          </mc:Fallback>
        </mc:AlternateContent>
      </w:r>
      <w:r>
        <w:rPr>
          <w:rFonts w:hint="eastAsia" w:ascii="仿宋_GB2312" w:hAnsi="仿宋_GB2312" w:eastAsia="仿宋_GB2312" w:cs="仿宋_GB2312"/>
          <w:sz w:val="28"/>
          <w:szCs w:val="36"/>
          <w:lang w:val="en-US" w:eastAsia="zh-CN"/>
        </w:rPr>
        <w:t>右玉县人民政府办公室                      2021年6月29日印发</w:t>
      </w:r>
    </w:p>
    <w:p>
      <w:pPr>
        <w:pStyle w:val="2"/>
        <w:rPr>
          <w:rFonts w:hint="eastAsia" w:ascii="仿宋_GB2312" w:hAnsi="宋体" w:eastAsia="仿宋_GB2312" w:cs="宋体"/>
          <w:b w:val="0"/>
          <w:bCs w:val="0"/>
          <w:color w:val="000000"/>
          <w:kern w:val="0"/>
          <w:lang w:val="en-US" w:eastAsia="zh-CN" w:bidi="th-TH"/>
        </w:rPr>
        <w:sectPr>
          <w:footerReference r:id="rId5" w:type="default"/>
          <w:footerReference r:id="rId6" w:type="even"/>
          <w:pgSz w:w="11906" w:h="16838"/>
          <w:pgMar w:top="1871" w:right="1417" w:bottom="1417" w:left="1417" w:header="851" w:footer="992" w:gutter="0"/>
          <w:cols w:space="0" w:num="1"/>
          <w:rtlGutter w:val="0"/>
          <w:docGrid w:type="lines" w:linePitch="323" w:charSpace="0"/>
        </w:sectPr>
      </w:pPr>
    </w:p>
    <w:p>
      <w:pPr>
        <w:rPr>
          <w:rFonts w:hint="eastAsia"/>
          <w:lang w:val="en-US" w:eastAsia="zh-CN"/>
        </w:rPr>
      </w:pPr>
    </w:p>
    <w:p>
      <w:pPr>
        <w:rPr>
          <w:rFonts w:hint="eastAsia"/>
          <w:lang w:val="en-US" w:eastAsia="zh-CN"/>
        </w:rPr>
      </w:pPr>
    </w:p>
    <w:p>
      <w:pPr>
        <w:pStyle w:val="2"/>
        <w:rPr>
          <w:rFonts w:hint="eastAsia" w:ascii="仿宋_GB2312" w:hAnsi="宋体" w:eastAsia="仿宋_GB2312" w:cs="宋体"/>
          <w:b w:val="0"/>
          <w:bCs w:val="0"/>
          <w:color w:val="000000"/>
          <w:kern w:val="0"/>
          <w:lang w:val="en-US" w:eastAsia="zh-CN" w:bidi="th-TH"/>
        </w:rPr>
      </w:pPr>
    </w:p>
    <w:p>
      <w:pPr>
        <w:keepNext w:val="0"/>
        <w:keepLines w:val="0"/>
        <w:widowControl/>
        <w:suppressLineNumbers w:val="0"/>
        <w:jc w:val="center"/>
        <w:textAlignment w:val="center"/>
        <w:rPr>
          <w:rFonts w:hint="default" w:ascii="方正小标宋简体" w:hAnsi="方正小标宋简体" w:eastAsia="方正小标宋简体" w:cs="方正小标宋简体"/>
          <w:i w:val="0"/>
          <w:color w:val="000000"/>
          <w:kern w:val="0"/>
          <w:sz w:val="32"/>
          <w:szCs w:val="32"/>
          <w:u w:val="none"/>
          <w:lang w:val="en-US" w:eastAsia="zh-CN" w:bidi="ar"/>
        </w:rPr>
        <w:sectPr>
          <w:footerReference r:id="rId7" w:type="default"/>
          <w:footerReference r:id="rId8" w:type="even"/>
          <w:pgSz w:w="11906" w:h="16838"/>
          <w:pgMar w:top="1871" w:right="1417" w:bottom="1417" w:left="1417" w:header="851" w:footer="992" w:gutter="0"/>
          <w:cols w:space="0" w:num="1"/>
          <w:rtlGutter w:val="0"/>
          <w:docGrid w:type="lines" w:linePitch="323" w:charSpace="0"/>
        </w:sectPr>
      </w:pPr>
    </w:p>
    <w:tbl>
      <w:tblPr>
        <w:tblStyle w:val="6"/>
        <w:tblW w:w="14248" w:type="dxa"/>
        <w:jc w:val="center"/>
        <w:shd w:val="clear" w:color="auto" w:fill="auto"/>
        <w:tblLayout w:type="fixed"/>
        <w:tblCellMar>
          <w:top w:w="0" w:type="dxa"/>
          <w:left w:w="0" w:type="dxa"/>
          <w:bottom w:w="0" w:type="dxa"/>
          <w:right w:w="0" w:type="dxa"/>
        </w:tblCellMar>
      </w:tblPr>
      <w:tblGrid>
        <w:gridCol w:w="3306"/>
        <w:gridCol w:w="2710"/>
        <w:gridCol w:w="1043"/>
        <w:gridCol w:w="1789"/>
        <w:gridCol w:w="1703"/>
        <w:gridCol w:w="1360"/>
        <w:gridCol w:w="1212"/>
        <w:gridCol w:w="1125"/>
      </w:tblGrid>
      <w:tr>
        <w:tblPrEx>
          <w:shd w:val="clear" w:color="auto" w:fill="auto"/>
          <w:tblCellMar>
            <w:top w:w="0" w:type="dxa"/>
            <w:left w:w="0" w:type="dxa"/>
            <w:bottom w:w="0" w:type="dxa"/>
            <w:right w:w="0" w:type="dxa"/>
          </w:tblCellMar>
        </w:tblPrEx>
        <w:trPr>
          <w:trHeight w:val="625" w:hRule="atLeast"/>
          <w:jc w:val="center"/>
        </w:trPr>
        <w:tc>
          <w:tcPr>
            <w:tcW w:w="14248" w:type="dxa"/>
            <w:gridSpan w:val="8"/>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both"/>
              <w:textAlignment w:val="center"/>
              <w:rPr>
                <w:rFonts w:hint="eastAsia" w:ascii="黑体" w:hAnsi="黑体" w:eastAsia="黑体" w:cs="黑体"/>
                <w:i w:val="0"/>
                <w:color w:val="000000"/>
                <w:kern w:val="0"/>
                <w:sz w:val="32"/>
                <w:szCs w:val="32"/>
                <w:u w:val="none"/>
                <w:lang w:val="en-US" w:eastAsia="zh-CN" w:bidi="ar"/>
              </w:rPr>
            </w:pPr>
            <w:r>
              <w:rPr>
                <w:rFonts w:hint="eastAsia" w:ascii="黑体" w:hAnsi="黑体" w:eastAsia="黑体" w:cs="黑体"/>
                <w:i w:val="0"/>
                <w:color w:val="000000"/>
                <w:kern w:val="0"/>
                <w:sz w:val="32"/>
                <w:szCs w:val="32"/>
                <w:u w:val="none"/>
                <w:lang w:val="en-US" w:eastAsia="zh-CN" w:bidi="ar"/>
              </w:rPr>
              <w:t>附件：</w:t>
            </w:r>
          </w:p>
          <w:p>
            <w:pPr>
              <w:keepNext w:val="0"/>
              <w:keepLines w:val="0"/>
              <w:pageBreakBefore w:val="0"/>
              <w:widowControl/>
              <w:suppressLineNumbers w:val="0"/>
              <w:kinsoku/>
              <w:wordWrap/>
              <w:overflowPunct/>
              <w:topLinePunct w:val="0"/>
              <w:autoSpaceDE/>
              <w:autoSpaceDN/>
              <w:bidi w:val="0"/>
              <w:adjustRightInd/>
              <w:snapToGrid/>
              <w:spacing w:after="324" w:afterLines="100"/>
              <w:jc w:val="center"/>
              <w:textAlignment w:val="center"/>
              <w:rPr>
                <w:rFonts w:ascii="方正小标宋简体" w:hAnsi="方正小标宋简体" w:eastAsia="方正小标宋简体" w:cs="方正小标宋简体"/>
                <w:i w:val="0"/>
                <w:color w:val="000000"/>
                <w:sz w:val="32"/>
                <w:szCs w:val="32"/>
                <w:u w:val="none"/>
              </w:rPr>
            </w:pPr>
            <w:r>
              <w:rPr>
                <w:rFonts w:hint="default" w:ascii="方正小标宋简体" w:hAnsi="方正小标宋简体" w:eastAsia="方正小标宋简体" w:cs="方正小标宋简体"/>
                <w:i w:val="0"/>
                <w:color w:val="000000"/>
                <w:kern w:val="0"/>
                <w:sz w:val="36"/>
                <w:szCs w:val="36"/>
                <w:u w:val="none"/>
                <w:lang w:val="en-US" w:eastAsia="zh-CN" w:bidi="ar"/>
              </w:rPr>
              <w:t>右玉县2021年整合财政资金衔接推进乡村振兴项目计划表</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27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建设任务</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资金规模</w:t>
            </w:r>
          </w:p>
        </w:tc>
        <w:tc>
          <w:tcPr>
            <w:tcW w:w="178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补助标准</w:t>
            </w:r>
          </w:p>
        </w:tc>
        <w:tc>
          <w:tcPr>
            <w:tcW w:w="170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实施地点</w:t>
            </w: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进度计划</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绩效目标</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责任单位</w:t>
            </w:r>
          </w:p>
        </w:tc>
      </w:tr>
      <w:tr>
        <w:tblPrEx>
          <w:tblCellMar>
            <w:top w:w="0" w:type="dxa"/>
            <w:left w:w="0" w:type="dxa"/>
            <w:bottom w:w="0" w:type="dxa"/>
            <w:right w:w="0" w:type="dxa"/>
          </w:tblCellMar>
        </w:tblPrEx>
        <w:trPr>
          <w:trHeight w:val="662"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“两类户”产业</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扶持590人“两类户”发展产业</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118</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人均2000元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“两类户”稳定脱贫</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乡村振兴局</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公益岗位</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开发公益岗位和公益事业</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32</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人均5000元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乡村振兴局</w:t>
            </w:r>
          </w:p>
        </w:tc>
      </w:tr>
      <w:tr>
        <w:tblPrEx>
          <w:tblCellMar>
            <w:top w:w="0" w:type="dxa"/>
            <w:left w:w="0" w:type="dxa"/>
            <w:bottom w:w="0" w:type="dxa"/>
            <w:right w:w="0" w:type="dxa"/>
          </w:tblCellMar>
        </w:tblPrEx>
        <w:trPr>
          <w:trHeight w:val="607"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外出就业脱贫劳动力交通补助和稳定就业补贴</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对跨省和省内跨县域就业的脱贫劳动力给予一次性交通补助</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79</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省外就业每人800元，县外省内就业每人600元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乡村振兴局</w:t>
            </w:r>
          </w:p>
        </w:tc>
      </w:tr>
      <w:tr>
        <w:tblPrEx>
          <w:tblCellMar>
            <w:top w:w="0" w:type="dxa"/>
            <w:left w:w="0" w:type="dxa"/>
            <w:bottom w:w="0" w:type="dxa"/>
            <w:right w:w="0" w:type="dxa"/>
          </w:tblCellMar>
        </w:tblPrEx>
        <w:trPr>
          <w:trHeight w:val="774"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易地搬迁后续产业</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对盘活用好移民安置安置区后续产业吸纳搬迁户就业的</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易地搬迁集中安置点</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农工办</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易地搬迁地方政府债券贴息</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对易地搬迁债券贴息</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改善脱贫户住房</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农工办</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2021年扶贫小额贷款贴息</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3000户脱贫户贷款贴息</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乡村振兴局</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2021年雨露计划</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200人雨露计划资助</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人均3000元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乡村振兴局</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2021年致富带头人培育</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70名致富带头人培育</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人均3500元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带动脱贫户增收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乡村振兴局</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护林员公益岗位</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开发护林员公益岗位228人</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137</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人均6000元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各乡镇</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林业局</w:t>
            </w:r>
          </w:p>
        </w:tc>
      </w:tr>
      <w:tr>
        <w:tblPrEx>
          <w:tblCellMar>
            <w:top w:w="0" w:type="dxa"/>
            <w:left w:w="0" w:type="dxa"/>
            <w:bottom w:w="0" w:type="dxa"/>
            <w:right w:w="0" w:type="dxa"/>
          </w:tblCellMar>
        </w:tblPrEx>
        <w:trPr>
          <w:trHeight w:val="636"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杀虎口风景名胜区马营河村大棚建设项目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一期拱棚22座，二期日光温室9座</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573</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一期每座11.36万元，</w:t>
            </w:r>
          </w:p>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二期41.1万元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马营河村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一期完成建设</w:t>
            </w:r>
          </w:p>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二期10月底完工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村集体增收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杀虎口</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2021年红寺洼村新建蔬菜大棚（2座）项目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新建蔬菜大棚2座</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每座25万元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红寺洼村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村集体增收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元堡子镇</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2021年大马营村新建蔬菜大棚（2座）项目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新建蔬菜大棚2座</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每座25万元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大马营村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村集体增收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元堡子镇</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高家堡乡麻黄头村肉牛养殖项目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养殖肉牛100头</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每头6000元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麻黄头村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村集体增收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高家堡乡</w:t>
            </w:r>
          </w:p>
        </w:tc>
      </w:tr>
    </w:tbl>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sectPr>
          <w:footerReference r:id="rId9" w:type="default"/>
          <w:footerReference r:id="rId10" w:type="even"/>
          <w:pgSz w:w="16838" w:h="11906" w:orient="landscape"/>
          <w:pgMar w:top="1134" w:right="1134" w:bottom="1134" w:left="1587" w:header="851" w:footer="992" w:gutter="0"/>
          <w:cols w:space="0" w:num="1"/>
          <w:rtlGutter w:val="0"/>
          <w:docGrid w:type="lines" w:linePitch="323" w:charSpace="0"/>
        </w:sectPr>
      </w:pPr>
    </w:p>
    <w:tbl>
      <w:tblPr>
        <w:tblStyle w:val="6"/>
        <w:tblW w:w="14248" w:type="dxa"/>
        <w:jc w:val="center"/>
        <w:shd w:val="clear" w:color="auto" w:fill="auto"/>
        <w:tblLayout w:type="fixed"/>
        <w:tblCellMar>
          <w:top w:w="0" w:type="dxa"/>
          <w:left w:w="0" w:type="dxa"/>
          <w:bottom w:w="0" w:type="dxa"/>
          <w:right w:w="0" w:type="dxa"/>
        </w:tblCellMar>
      </w:tblPr>
      <w:tblGrid>
        <w:gridCol w:w="3306"/>
        <w:gridCol w:w="2710"/>
        <w:gridCol w:w="1043"/>
        <w:gridCol w:w="1789"/>
        <w:gridCol w:w="1703"/>
        <w:gridCol w:w="1360"/>
        <w:gridCol w:w="1212"/>
        <w:gridCol w:w="1125"/>
      </w:tblGrid>
      <w:tr>
        <w:tblPrEx>
          <w:shd w:val="clear" w:color="auto" w:fill="auto"/>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李达窑乡养鸡项目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建设鸡舍50个，购置蛋鸡2500只</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户均6000元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李达窑乡</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10月底完成</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户均增收5000元</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李达窑乡</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牛心乡盘石岭村养殖项目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建设牛羊养殖场2500平方米</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41</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盘石岭村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10月底完成</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户均增收5000元</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牛心堡乡</w:t>
            </w:r>
          </w:p>
        </w:tc>
      </w:tr>
      <w:tr>
        <w:tblPrEx>
          <w:tblCellMar>
            <w:top w:w="0" w:type="dxa"/>
            <w:left w:w="0" w:type="dxa"/>
            <w:bottom w:w="0" w:type="dxa"/>
            <w:right w:w="0" w:type="dxa"/>
          </w:tblCellMar>
        </w:tblPrEx>
        <w:trPr>
          <w:trHeight w:val="634"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范家窑村农田改造项目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平田整地215亩</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28</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1300元/亩</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李达窑乡范家窑村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提高粮食产量，农户增收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农业农村局</w:t>
            </w:r>
          </w:p>
        </w:tc>
      </w:tr>
      <w:tr>
        <w:tblPrEx>
          <w:tblCellMar>
            <w:top w:w="0" w:type="dxa"/>
            <w:left w:w="0" w:type="dxa"/>
            <w:bottom w:w="0" w:type="dxa"/>
            <w:right w:w="0" w:type="dxa"/>
          </w:tblCellMar>
        </w:tblPrEx>
        <w:trPr>
          <w:trHeight w:val="90"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引进繁育脱毒马铃薯新品种乡村振兴项目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建设脱毒马铃薯原种繁育1000亩，引进脱毒马铃薯新品种5个，购买新品种脱毒马铃薯微型薯100万粒，新引进组培苗100万株，</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900元/亩</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高家堡乡沙家寺500亩、元堡镇增子坊200亩、新城镇七里铺100亩、右卫镇咀流屯200亩</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提高粮食产量</w:t>
            </w:r>
          </w:p>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农业农村局</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杨千河蘑菇种植项目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新建蘑菇种植基地一处，购置菌棒等</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55</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杨千河村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村集体增收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杨千河乡</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新城镇南街村蘑菇种植项目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新建蘑菇种植基地一处，购置菌棒等</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康平村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村集体增收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新城镇</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威远镇蘑菇种植项目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新建蘑菇种植基地一处，购置菌棒等</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康平村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村集体增收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威远镇</w:t>
            </w:r>
          </w:p>
        </w:tc>
      </w:tr>
      <w:tr>
        <w:tblPrEx>
          <w:tblCellMar>
            <w:top w:w="0" w:type="dxa"/>
            <w:left w:w="0" w:type="dxa"/>
            <w:bottom w:w="0" w:type="dxa"/>
            <w:right w:w="0" w:type="dxa"/>
          </w:tblCellMar>
        </w:tblPrEx>
        <w:trPr>
          <w:trHeight w:val="537"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东兴村大棚种植建设项目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建设大棚10座</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189</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每座18.9万元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东兴村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带动村集体和贫困户增收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右卫镇</w:t>
            </w:r>
          </w:p>
        </w:tc>
      </w:tr>
      <w:tr>
        <w:tblPrEx>
          <w:tblCellMar>
            <w:top w:w="0" w:type="dxa"/>
            <w:left w:w="0" w:type="dxa"/>
            <w:bottom w:w="0" w:type="dxa"/>
            <w:right w:w="0" w:type="dxa"/>
          </w:tblCellMar>
        </w:tblPrEx>
        <w:trPr>
          <w:trHeight w:val="654"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2021年光伏扶贫电站项目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完善28.184兆瓦光伏扶贫电站</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269</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实现贫困村年均增收20万元</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乡村振兴局</w:t>
            </w:r>
          </w:p>
        </w:tc>
      </w:tr>
      <w:tr>
        <w:tblPrEx>
          <w:tblCellMar>
            <w:top w:w="0" w:type="dxa"/>
            <w:left w:w="0" w:type="dxa"/>
            <w:bottom w:w="0" w:type="dxa"/>
            <w:right w:w="0" w:type="dxa"/>
          </w:tblCellMar>
        </w:tblPrEx>
        <w:trPr>
          <w:trHeight w:val="634"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高标准农田建设</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高标准农田建设0.388亩</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606</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1500元/亩</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提高粮食产量，农户增收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自然资源局</w:t>
            </w:r>
          </w:p>
        </w:tc>
      </w:tr>
      <w:tr>
        <w:tblPrEx>
          <w:tblCellMar>
            <w:top w:w="0" w:type="dxa"/>
            <w:left w:w="0" w:type="dxa"/>
            <w:bottom w:w="0" w:type="dxa"/>
            <w:right w:w="0" w:type="dxa"/>
          </w:tblCellMar>
        </w:tblPrEx>
        <w:trPr>
          <w:trHeight w:val="90"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2021年高标准农田建设项目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高标准农田建设6.6万亩</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10300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1500元/亩</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威远镇、李达窑乡、新城镇、右卫镇、元堡镇、杀虎口旅游区</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提高粮食产量，农户增收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开发办</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2021年牛羊圈舍草库建设项目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建设牛羊圈舍草库63000平方米</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945</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150元/平方米</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带动脱贫户增收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畜牧兽医中心</w:t>
            </w:r>
          </w:p>
        </w:tc>
      </w:tr>
      <w:tr>
        <w:tblPrEx>
          <w:tblCellMar>
            <w:top w:w="0" w:type="dxa"/>
            <w:left w:w="0" w:type="dxa"/>
            <w:bottom w:w="0" w:type="dxa"/>
            <w:right w:w="0" w:type="dxa"/>
          </w:tblCellMar>
        </w:tblPrEx>
        <w:trPr>
          <w:trHeight w:val="514"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标准化圈舍补贴</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建设标准化圈舍10000平方米</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改善养殖条件，带动贫困户增收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畜牧兽医中心</w:t>
            </w:r>
          </w:p>
        </w:tc>
      </w:tr>
      <w:tr>
        <w:tblPrEx>
          <w:tblCellMar>
            <w:top w:w="0" w:type="dxa"/>
            <w:left w:w="0" w:type="dxa"/>
            <w:bottom w:w="0" w:type="dxa"/>
            <w:right w:w="0" w:type="dxa"/>
          </w:tblCellMar>
        </w:tblPrEx>
        <w:trPr>
          <w:trHeight w:val="644"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2021年种公羊养殖项目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发放种公羊200只</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2500元/只</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改良品种，带动贫困户增收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畜牧兽医中心</w:t>
            </w:r>
          </w:p>
        </w:tc>
      </w:tr>
    </w:tbl>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sectPr>
          <w:footerReference r:id="rId11" w:type="default"/>
          <w:footerReference r:id="rId12" w:type="even"/>
          <w:pgSz w:w="16838" w:h="11906" w:orient="landscape"/>
          <w:pgMar w:top="1134" w:right="1134" w:bottom="1134" w:left="1587" w:header="851" w:footer="992" w:gutter="0"/>
          <w:cols w:space="0" w:num="1"/>
          <w:rtlGutter w:val="0"/>
          <w:docGrid w:type="lines" w:linePitch="323" w:charSpace="0"/>
        </w:sectPr>
      </w:pPr>
    </w:p>
    <w:tbl>
      <w:tblPr>
        <w:tblStyle w:val="6"/>
        <w:tblW w:w="14248" w:type="dxa"/>
        <w:jc w:val="center"/>
        <w:shd w:val="clear" w:color="auto" w:fill="auto"/>
        <w:tblLayout w:type="fixed"/>
        <w:tblCellMar>
          <w:top w:w="0" w:type="dxa"/>
          <w:left w:w="0" w:type="dxa"/>
          <w:bottom w:w="0" w:type="dxa"/>
          <w:right w:w="0" w:type="dxa"/>
        </w:tblCellMar>
      </w:tblPr>
      <w:tblGrid>
        <w:gridCol w:w="3306"/>
        <w:gridCol w:w="2710"/>
        <w:gridCol w:w="1043"/>
        <w:gridCol w:w="1789"/>
        <w:gridCol w:w="1703"/>
        <w:gridCol w:w="1360"/>
        <w:gridCol w:w="1212"/>
        <w:gridCol w:w="1125"/>
      </w:tblGrid>
      <w:tr>
        <w:tblPrEx>
          <w:shd w:val="clear" w:color="auto" w:fill="auto"/>
          <w:tblCellMar>
            <w:top w:w="0" w:type="dxa"/>
            <w:left w:w="0" w:type="dxa"/>
            <w:bottom w:w="0" w:type="dxa"/>
            <w:right w:w="0" w:type="dxa"/>
          </w:tblCellMar>
        </w:tblPrEx>
        <w:trPr>
          <w:trHeight w:val="612"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基础母羊养殖补贴</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养殖优质肉羊23800只</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476</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每只</w:t>
            </w:r>
            <w:r>
              <w:rPr>
                <w:rFonts w:hint="eastAsia" w:ascii="宋体" w:hAnsi="宋体" w:cs="宋体"/>
                <w:i w:val="0"/>
                <w:color w:val="000000"/>
                <w:kern w:val="0"/>
                <w:sz w:val="16"/>
                <w:szCs w:val="16"/>
                <w:u w:val="none"/>
                <w:lang w:val="en-US" w:eastAsia="zh-CN" w:bidi="ar"/>
              </w:rPr>
              <w:t>3</w:t>
            </w:r>
            <w:r>
              <w:rPr>
                <w:rFonts w:hint="eastAsia" w:ascii="宋体" w:hAnsi="宋体" w:eastAsia="宋体" w:cs="宋体"/>
                <w:i w:val="0"/>
                <w:color w:val="000000"/>
                <w:kern w:val="0"/>
                <w:sz w:val="16"/>
                <w:szCs w:val="16"/>
                <w:u w:val="none"/>
                <w:lang w:val="en-US" w:eastAsia="zh-CN" w:bidi="ar"/>
              </w:rPr>
              <w:t>00元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改良品种，带动贫困户增收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畜牧兽医中心</w:t>
            </w:r>
          </w:p>
        </w:tc>
      </w:tr>
      <w:tr>
        <w:tblPrEx>
          <w:tblCellMar>
            <w:top w:w="0" w:type="dxa"/>
            <w:left w:w="0" w:type="dxa"/>
            <w:bottom w:w="0" w:type="dxa"/>
            <w:right w:w="0" w:type="dxa"/>
          </w:tblCellMar>
        </w:tblPrEx>
        <w:trPr>
          <w:trHeight w:val="590"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胡羊养殖</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养殖胡羊2500只</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每只400元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改良品种，带动贫困户增收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畜牧兽医中心</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屠宰加工项目补贴</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奖补肉羊屠宰加工企业</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带动脱贫户增收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畜牧兽医中心</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龙头企业扶持</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奖补龙头企业</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r>
              <w:rPr>
                <w:rFonts w:hint="eastAsia" w:ascii="宋体" w:hAnsi="宋体" w:cs="宋体"/>
                <w:i w:val="0"/>
                <w:color w:val="000000"/>
                <w:kern w:val="0"/>
                <w:sz w:val="16"/>
                <w:szCs w:val="16"/>
                <w:u w:val="none"/>
                <w:lang w:val="en-US" w:eastAsia="zh-CN" w:bidi="ar"/>
              </w:rPr>
              <w:t>0</w:t>
            </w:r>
            <w:r>
              <w:rPr>
                <w:rFonts w:hint="eastAsia" w:ascii="宋体" w:hAnsi="宋体" w:eastAsia="宋体" w:cs="宋体"/>
                <w:i w:val="0"/>
                <w:color w:val="000000"/>
                <w:kern w:val="0"/>
                <w:sz w:val="16"/>
                <w:szCs w:val="16"/>
                <w:u w:val="none"/>
                <w:lang w:val="en-US" w:eastAsia="zh-CN" w:bidi="ar"/>
              </w:rPr>
              <w:t>00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带动脱贫户增收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乡村振兴局</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种植经营主体奖补</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企业、合作社、大户</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6"/>
                <w:szCs w:val="16"/>
                <w:u w:val="none"/>
                <w:lang w:val="en-US" w:eastAsia="zh-CN" w:bidi="ar"/>
              </w:rPr>
            </w:pPr>
            <w:r>
              <w:rPr>
                <w:rFonts w:hint="eastAsia" w:ascii="宋体" w:hAnsi="宋体" w:cs="宋体"/>
                <w:i w:val="0"/>
                <w:color w:val="000000"/>
                <w:kern w:val="0"/>
                <w:sz w:val="16"/>
                <w:szCs w:val="16"/>
                <w:u w:val="none"/>
                <w:lang w:val="en-US" w:eastAsia="zh-CN" w:bidi="ar"/>
              </w:rPr>
              <w:t>300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tabs>
                <w:tab w:val="left" w:pos="553"/>
              </w:tabs>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cs="宋体"/>
                <w:i w:val="0"/>
                <w:color w:val="000000"/>
                <w:kern w:val="0"/>
                <w:sz w:val="16"/>
                <w:szCs w:val="16"/>
                <w:u w:val="none"/>
                <w:lang w:val="en-US" w:eastAsia="zh-CN" w:bidi="ar"/>
              </w:rPr>
              <w:tab/>
            </w:r>
            <w:r>
              <w:rPr>
                <w:rFonts w:hint="eastAsia" w:ascii="宋体" w:hAnsi="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12月底完工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带动脱贫户增收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16"/>
                <w:szCs w:val="16"/>
                <w:u w:val="none"/>
                <w:lang w:val="en-US" w:eastAsia="zh-CN" w:bidi="ar"/>
              </w:rPr>
            </w:pPr>
            <w:r>
              <w:rPr>
                <w:rFonts w:hint="eastAsia" w:ascii="宋体" w:hAnsi="宋体" w:cs="宋体"/>
                <w:i w:val="0"/>
                <w:color w:val="000000"/>
                <w:kern w:val="0"/>
                <w:sz w:val="16"/>
                <w:szCs w:val="16"/>
                <w:u w:val="none"/>
                <w:lang w:val="en-US" w:eastAsia="zh-CN" w:bidi="ar"/>
              </w:rPr>
              <w:t>农业农村局</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2021年中药材种植示范园区</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中药材种植2000亩</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每亩300元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农业农村局</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2021年谷子种植园区</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种植优质谷子1.1万亩</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55</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50元/亩</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农业农村局</w:t>
            </w:r>
          </w:p>
        </w:tc>
      </w:tr>
      <w:tr>
        <w:tblPrEx>
          <w:tblCellMar>
            <w:top w:w="0" w:type="dxa"/>
            <w:left w:w="0" w:type="dxa"/>
            <w:bottom w:w="0" w:type="dxa"/>
            <w:right w:w="0" w:type="dxa"/>
          </w:tblCellMar>
        </w:tblPrEx>
        <w:trPr>
          <w:trHeight w:val="722"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2021年杂粮种植项目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种植燕麦、荞麦等杂粮5万亩</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燕麦50元/亩、荞麦30元/亩</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农业农村局</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2021年马铃薯种植项目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种植脱毒马铃薯原种8000亩以上</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250元/亩</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农业农村局</w:t>
            </w:r>
          </w:p>
        </w:tc>
      </w:tr>
      <w:tr>
        <w:tblPrEx>
          <w:tblCellMar>
            <w:top w:w="0" w:type="dxa"/>
            <w:left w:w="0" w:type="dxa"/>
            <w:bottom w:w="0" w:type="dxa"/>
            <w:right w:w="0" w:type="dxa"/>
          </w:tblCellMar>
        </w:tblPrEx>
        <w:trPr>
          <w:trHeight w:val="634"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2021年彩色种植项目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种植向日葵1.7万亩、胡麻1万亩、油菜3万亩</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205</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向日葵50元/亩、胡麻油菜30元/亩</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农业农村局</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优质牧草加工企业补贴</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奖补万吨牧草加工企业</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240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带动脱贫户增收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畜牧兽医中心</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2021年增子坊村光伏并网高压线路及变台改造</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光伏并网高压线路及变台改造</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每座10万元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增子坊村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正在并网中</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村集体增收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元堡子镇</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2021年蔡家堡村光伏并网高压线路及变台改造</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光伏并网高压线路及变台改造</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每座8万元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蔡家堡村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正在并网中</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村集体增收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元堡子镇</w:t>
            </w:r>
          </w:p>
        </w:tc>
      </w:tr>
      <w:tr>
        <w:tblPrEx>
          <w:tblCellMar>
            <w:top w:w="0" w:type="dxa"/>
            <w:left w:w="0" w:type="dxa"/>
            <w:bottom w:w="0" w:type="dxa"/>
            <w:right w:w="0" w:type="dxa"/>
          </w:tblCellMar>
        </w:tblPrEx>
        <w:trPr>
          <w:trHeight w:val="426"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2021年腊家屯光伏并网高压线路及变台改造</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光伏并网高压线路及变台改造</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每座8万元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腊家屯村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正在并网中</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村集体增收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元堡子镇</w:t>
            </w:r>
          </w:p>
        </w:tc>
      </w:tr>
      <w:tr>
        <w:tblPrEx>
          <w:tblCellMar>
            <w:top w:w="0" w:type="dxa"/>
            <w:left w:w="0" w:type="dxa"/>
            <w:bottom w:w="0" w:type="dxa"/>
            <w:right w:w="0" w:type="dxa"/>
          </w:tblCellMar>
        </w:tblPrEx>
        <w:trPr>
          <w:trHeight w:val="408"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2021年梁信屯光伏并网高压线路及变台改造</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光伏并网高压线路及变台改造</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每座4万元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梁信屯村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正在并网中</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村集体增收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元堡子镇</w:t>
            </w:r>
          </w:p>
        </w:tc>
      </w:tr>
      <w:tr>
        <w:tblPrEx>
          <w:tblCellMar>
            <w:top w:w="0" w:type="dxa"/>
            <w:left w:w="0" w:type="dxa"/>
            <w:bottom w:w="0" w:type="dxa"/>
            <w:right w:w="0" w:type="dxa"/>
          </w:tblCellMar>
        </w:tblPrEx>
        <w:trPr>
          <w:trHeight w:val="735"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中药材晾晒分拣储存场项目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新建初加工场所1764平方米</w:t>
            </w:r>
          </w:p>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阳光房1080平方米等</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336</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李达窑乡火烧岭村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改善农户中药材储存条件</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农业农村局</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水利引黄工程</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10个村饮水</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全县范围</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改善村民饮水</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水利局</w:t>
            </w:r>
          </w:p>
        </w:tc>
      </w:tr>
    </w:tbl>
    <w:p>
      <w:pPr>
        <w:keepNext w:val="0"/>
        <w:keepLines w:val="0"/>
        <w:widowControl/>
        <w:suppressLineNumbers w:val="0"/>
        <w:jc w:val="center"/>
        <w:textAlignment w:val="center"/>
        <w:rPr>
          <w:rFonts w:hint="eastAsia" w:ascii="宋体" w:hAnsi="宋体" w:eastAsia="宋体" w:cs="宋体"/>
          <w:i w:val="0"/>
          <w:color w:val="000000"/>
          <w:kern w:val="0"/>
          <w:sz w:val="16"/>
          <w:szCs w:val="16"/>
          <w:u w:val="none"/>
          <w:lang w:val="en-US" w:eastAsia="zh-CN" w:bidi="ar"/>
        </w:rPr>
        <w:sectPr>
          <w:footerReference r:id="rId13" w:type="default"/>
          <w:footerReference r:id="rId14" w:type="even"/>
          <w:pgSz w:w="16838" w:h="11906" w:orient="landscape"/>
          <w:pgMar w:top="1134" w:right="1134" w:bottom="1134" w:left="1587" w:header="851" w:footer="992" w:gutter="0"/>
          <w:cols w:space="0" w:num="1"/>
          <w:rtlGutter w:val="0"/>
          <w:docGrid w:type="lines" w:linePitch="323" w:charSpace="0"/>
        </w:sectPr>
      </w:pPr>
    </w:p>
    <w:tbl>
      <w:tblPr>
        <w:tblStyle w:val="6"/>
        <w:tblW w:w="14248" w:type="dxa"/>
        <w:jc w:val="center"/>
        <w:shd w:val="clear" w:color="auto" w:fill="auto"/>
        <w:tblLayout w:type="fixed"/>
        <w:tblCellMar>
          <w:top w:w="0" w:type="dxa"/>
          <w:left w:w="0" w:type="dxa"/>
          <w:bottom w:w="0" w:type="dxa"/>
          <w:right w:w="0" w:type="dxa"/>
        </w:tblCellMar>
      </w:tblPr>
      <w:tblGrid>
        <w:gridCol w:w="3306"/>
        <w:gridCol w:w="2710"/>
        <w:gridCol w:w="1043"/>
        <w:gridCol w:w="1789"/>
        <w:gridCol w:w="1703"/>
        <w:gridCol w:w="1360"/>
        <w:gridCol w:w="1212"/>
        <w:gridCol w:w="1125"/>
      </w:tblGrid>
      <w:tr>
        <w:tblPrEx>
          <w:shd w:val="clear" w:color="auto" w:fill="auto"/>
          <w:tblCellMar>
            <w:top w:w="0" w:type="dxa"/>
            <w:left w:w="0" w:type="dxa"/>
            <w:bottom w:w="0" w:type="dxa"/>
            <w:right w:w="0" w:type="dxa"/>
          </w:tblCellMar>
        </w:tblPrEx>
        <w:trPr>
          <w:trHeight w:val="1452" w:hRule="atLeas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19个村引黄工程款和水毁修复</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元堡子镇新建维修井、新建维修管道、挖壕覆土.高家堡乡麻黄头村加压泵站清理淤泥，更换电机，水泵。31座管理井清理、新砌。更换送水管926米。16166米管网回填覆土。</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小马营村、西洲里村、梁信屯村、腊家屯村、大磁窑村等村</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改善村民饮水</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高家堡乡</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元堡子镇</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村级水源地修复工程</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对有修复需求的村级水源地进行修缮</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各乡镇</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改善村民饮水</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各乡镇</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农村四好公路建设项目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新建、改扩建农村四好公路150公里</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3787</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各乡镇</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改善村民出行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交通局</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农村人居环境六乱整治提升</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非贫困村环境提升</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1400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各乡镇</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改善农村环境</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各乡镇</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各乡镇所在地村人居环境六乱整治提升</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9个乡政府驻地村环境提升</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每村10万元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各乡镇</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改善农村环境</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各乡镇</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农村污水处理项目建设</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60个村污水处理工程</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1300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各乡镇</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改善农村环境</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各乡镇</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农村改厕项目</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改造农村厕所100个</w:t>
            </w: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每个1万元</w:t>
            </w: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元堡镇</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11月底完工</w:t>
            </w: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改善农村环境</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农工办</w:t>
            </w:r>
          </w:p>
        </w:tc>
      </w:tr>
      <w:tr>
        <w:tblPrEx>
          <w:tblCellMar>
            <w:top w:w="0" w:type="dxa"/>
            <w:left w:w="0" w:type="dxa"/>
            <w:bottom w:w="0" w:type="dxa"/>
            <w:right w:w="0" w:type="dxa"/>
          </w:tblCellMar>
        </w:tblPrEx>
        <w:trPr>
          <w:trHeight w:val="510" w:hRule="exact"/>
          <w:jc w:val="center"/>
        </w:trPr>
        <w:tc>
          <w:tcPr>
            <w:tcW w:w="33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合计</w:t>
            </w:r>
          </w:p>
        </w:tc>
        <w:tc>
          <w:tcPr>
            <w:tcW w:w="2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0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25036</w:t>
            </w:r>
          </w:p>
        </w:tc>
        <w:tc>
          <w:tcPr>
            <w:tcW w:w="1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7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6"/>
                <w:szCs w:val="16"/>
                <w:u w:val="none"/>
              </w:rPr>
            </w:pPr>
          </w:p>
        </w:tc>
      </w:tr>
    </w:tbl>
    <w:p>
      <w:pPr>
        <w:rPr>
          <w:rFonts w:hint="eastAsia"/>
          <w:lang w:val="en-US" w:eastAsia="zh-CN"/>
        </w:rPr>
        <w:sectPr>
          <w:footerReference r:id="rId15" w:type="default"/>
          <w:footerReference r:id="rId16" w:type="even"/>
          <w:pgSz w:w="16838" w:h="11906" w:orient="landscape"/>
          <w:pgMar w:top="1134" w:right="1134" w:bottom="1134" w:left="1587" w:header="851" w:footer="992" w:gutter="0"/>
          <w:cols w:space="0" w:num="1"/>
          <w:rtlGutter w:val="0"/>
          <w:docGrid w:type="lines" w:linePitch="323" w:charSpace="0"/>
        </w:sectPr>
      </w:pPr>
    </w:p>
    <w:p>
      <w:pPr>
        <w:pStyle w:val="2"/>
        <w:ind w:left="0" w:leftChars="0" w:firstLine="0" w:firstLineChars="0"/>
        <w:rPr>
          <w:rFonts w:hint="default"/>
          <w:lang w:val="en-US" w:eastAsia="zh-CN"/>
        </w:rPr>
      </w:pPr>
    </w:p>
    <w:sectPr>
      <w:footerReference r:id="rId17" w:type="default"/>
      <w:footerReference r:id="rId18" w:type="even"/>
      <w:pgSz w:w="11906" w:h="16838"/>
      <w:pgMar w:top="1701" w:right="1587" w:bottom="1701" w:left="1587" w:header="851" w:footer="992" w:gutter="0"/>
      <w:cols w:space="0" w:num="1"/>
      <w:rtlGutter w:val="0"/>
      <w:docGrid w:type="lines" w:linePitch="3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粗倩简体">
    <w:panose1 w:val="03000509000000000000"/>
    <w:charset w:val="86"/>
    <w:family w:val="auto"/>
    <w:pitch w:val="default"/>
    <w:sig w:usb0="00000001" w:usb1="080E0000" w:usb2="00000000" w:usb3="00000000" w:csb0="00040000" w:csb1="00000000"/>
  </w:font>
  <w:font w:name="Angsana New">
    <w:panose1 w:val="02020603050405020304"/>
    <w:charset w:val="DE"/>
    <w:family w:val="roman"/>
    <w:pitch w:val="default"/>
    <w:sig w:usb0="81000003" w:usb1="00000000" w:usb2="00000000" w:usb3="00000000" w:csb0="0001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4954270</wp:posOffset>
              </wp:positionH>
              <wp:positionV relativeFrom="paragraph">
                <wp:posOffset>-142240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val="0"/>
                            <w:ind w:right="420" w:rightChars="200"/>
                            <w:textAlignment w:val="auto"/>
                            <w:rPr>
                              <w:rFonts w:hint="default" w:ascii="Times New Roman" w:hAnsi="Times New Roman" w:eastAsia="宋体" w:cs="Times New Roman"/>
                              <w:sz w:val="28"/>
                              <w:szCs w:val="44"/>
                              <w:lang w:val="en-US" w:eastAsia="zh-CN"/>
                            </w:rPr>
                          </w:pPr>
                          <w:r>
                            <w:rPr>
                              <w:rFonts w:hint="default" w:ascii="Times New Roman" w:hAnsi="Times New Roman" w:cs="Times New Roman"/>
                              <w:sz w:val="28"/>
                              <w:szCs w:val="44"/>
                              <w:lang w:eastAsia="zh-CN"/>
                            </w:rPr>
                            <w:t>—</w:t>
                          </w:r>
                          <w:r>
                            <w:rPr>
                              <w:rFonts w:hint="default" w:ascii="Times New Roman" w:hAnsi="Times New Roman" w:cs="Times New Roman"/>
                              <w:sz w:val="28"/>
                              <w:szCs w:val="44"/>
                              <w:lang w:val="en-US" w:eastAsia="zh-CN"/>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0.1pt;margin-top:-11.2pt;height:144pt;width:144pt;mso-position-horizontal-relative:margin;mso-wrap-style:none;z-index:251659264;mso-width-relative:page;mso-height-relative:page;" filled="f" stroked="f" coordsize="21600,21600" o:gfxdata="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KPGF/YAAAADAEAAA8AAAAAAAAAAQAgAAAAIgAAAGRycy9kb3ducmV2Lnht&#10;bFBLAQIUABQAAAAIAIdO4kB/jq0RMgIAAGEEAAAOAAAAAAAAAAEAIAAAACcBAABkcnMvZTJvRG9j&#10;LnhtbFBLBQYAAAAABgAGAFkBAADLBQ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right="420" w:rightChars="200"/>
                      <w:textAlignment w:val="auto"/>
                      <w:rPr>
                        <w:rFonts w:hint="default" w:ascii="Times New Roman" w:hAnsi="Times New Roman" w:eastAsia="宋体" w:cs="Times New Roman"/>
                        <w:sz w:val="28"/>
                        <w:szCs w:val="44"/>
                        <w:lang w:val="en-US" w:eastAsia="zh-CN"/>
                      </w:rPr>
                    </w:pPr>
                    <w:r>
                      <w:rPr>
                        <w:rFonts w:hint="default" w:ascii="Times New Roman" w:hAnsi="Times New Roman" w:cs="Times New Roman"/>
                        <w:sz w:val="28"/>
                        <w:szCs w:val="44"/>
                        <w:lang w:eastAsia="zh-CN"/>
                      </w:rPr>
                      <w:t>—</w:t>
                    </w:r>
                    <w:r>
                      <w:rPr>
                        <w:rFonts w:hint="default" w:ascii="Times New Roman" w:hAnsi="Times New Roman" w:cs="Times New Roman"/>
                        <w:sz w:val="28"/>
                        <w:szCs w:val="44"/>
                        <w:lang w:val="en-US" w:eastAsia="zh-CN"/>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lang w:val="en-US" w:eastAsia="zh-CN"/>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2336" behindDoc="0" locked="0" layoutInCell="1" allowOverlap="1">
              <wp:simplePos x="0" y="0"/>
              <wp:positionH relativeFrom="margin">
                <wp:posOffset>4954270</wp:posOffset>
              </wp:positionH>
              <wp:positionV relativeFrom="paragraph">
                <wp:posOffset>-142240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val="0"/>
                            <w:ind w:right="420" w:rightChars="200"/>
                            <w:textAlignment w:val="auto"/>
                            <w:rPr>
                              <w:rFonts w:hint="default" w:ascii="Times New Roman" w:hAnsi="Times New Roman" w:eastAsia="宋体" w:cs="Times New Roman"/>
                              <w:sz w:val="28"/>
                              <w:szCs w:val="44"/>
                              <w:lang w:val="en-US" w:eastAsia="zh-CN"/>
                            </w:rPr>
                          </w:pPr>
                          <w:r>
                            <w:rPr>
                              <w:rFonts w:hint="default" w:ascii="Times New Roman" w:hAnsi="Times New Roman" w:cs="Times New Roman"/>
                              <w:sz w:val="28"/>
                              <w:szCs w:val="44"/>
                              <w:lang w:eastAsia="zh-CN"/>
                            </w:rPr>
                            <w:t>—</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0.1pt;margin-top:-11.2pt;height:144pt;width:144pt;mso-position-horizontal-relative:margin;mso-wrap-style:none;z-index:251662336;mso-width-relative:page;mso-height-relative:page;" filled="f" stroked="f" coordsize="21600,21600" o:gfxdata="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ijxhf2AAAAAwBAAAPAAAAAAAAAAEAIAAAACIAAABkcnMvZG93bnJldi54&#10;bWxQSwECFAAUAAAACACHTuJAYa2EcjMCAABjBAAADgAAAAAAAAABACAAAAAnAQAAZHJzL2Uyb0Rv&#10;Yy54bWxQSwUGAAAAAAYABgBZAQAAzAU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right="420" w:rightChars="200"/>
                      <w:textAlignment w:val="auto"/>
                      <w:rPr>
                        <w:rFonts w:hint="default" w:ascii="Times New Roman" w:hAnsi="Times New Roman" w:eastAsia="宋体" w:cs="Times New Roman"/>
                        <w:sz w:val="28"/>
                        <w:szCs w:val="44"/>
                        <w:lang w:val="en-US" w:eastAsia="zh-CN"/>
                      </w:rPr>
                    </w:pPr>
                    <w:r>
                      <w:rPr>
                        <w:rFonts w:hint="default" w:ascii="Times New Roman" w:hAnsi="Times New Roman" w:cs="Times New Roman"/>
                        <w:sz w:val="28"/>
                        <w:szCs w:val="44"/>
                        <w:lang w:eastAsia="zh-CN"/>
                      </w:rPr>
                      <w:t>—</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lang w:val="en-US" w:eastAsia="zh-CN"/>
                      </w:rPr>
                      <w:t xml:space="preserve"> —</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3360" behindDoc="0" locked="0" layoutInCell="1" allowOverlap="1">
              <wp:simplePos x="0" y="0"/>
              <wp:positionH relativeFrom="margin">
                <wp:posOffset>0</wp:posOffset>
              </wp:positionH>
              <wp:positionV relativeFrom="paragraph">
                <wp:posOffset>-142240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val="0"/>
                            <w:ind w:left="420" w:leftChars="200"/>
                            <w:textAlignment w:val="auto"/>
                            <w:rPr>
                              <w:rFonts w:hint="default" w:ascii="Times New Roman" w:hAnsi="Times New Roman" w:eastAsia="宋体" w:cs="Times New Roman"/>
                              <w:sz w:val="28"/>
                              <w:szCs w:val="44"/>
                              <w:lang w:val="en-US" w:eastAsia="zh-CN"/>
                            </w:rPr>
                          </w:pPr>
                          <w:r>
                            <w:rPr>
                              <w:rFonts w:hint="default" w:ascii="Times New Roman" w:hAnsi="Times New Roman" w:cs="Times New Roman"/>
                              <w:sz w:val="28"/>
                              <w:szCs w:val="44"/>
                              <w:lang w:eastAsia="zh-CN"/>
                            </w:rPr>
                            <w:t>—</w:t>
                          </w:r>
                          <w:r>
                            <w:rPr>
                              <w:rFonts w:hint="default" w:ascii="Times New Roman" w:hAnsi="Times New Roman" w:cs="Times New Roman"/>
                              <w:sz w:val="28"/>
                              <w:szCs w:val="44"/>
                              <w:lang w:val="en-US" w:eastAsia="zh-CN"/>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2</w:t>
                          </w:r>
                          <w:r>
                            <w:rPr>
                              <w:rFonts w:hint="default" w:ascii="Times New Roman" w:hAnsi="Times New Roman" w:cs="Times New Roman"/>
                              <w:sz w:val="28"/>
                              <w:szCs w:val="44"/>
                            </w:rPr>
                            <w:fldChar w:fldCharType="end"/>
                          </w:r>
                          <w:r>
                            <w:rPr>
                              <w:rFonts w:hint="default" w:ascii="Times New Roman" w:hAnsi="Times New Roman" w:cs="Times New Roman"/>
                              <w:sz w:val="28"/>
                              <w:szCs w:val="4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11.2pt;height:144pt;width:144pt;mso-position-horizontal-relative:margin;mso-wrap-style:none;z-index:251663360;mso-width-relative:page;mso-height-relative:page;" filled="f" stroked="f" coordsize="21600,21600" o:gfxdata="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YtzoE1gAAAAgBAAAPAAAAAAAAAAEAIAAAACIAAABkcnMvZG93bnJldi54bWxQ&#10;SwECFAAUAAAACACHTuJA5lNNmTICAABjBAAADgAAAAAAAAABACAAAAAlAQAAZHJzL2Uyb0RvYy54&#10;bWxQSwUGAAAAAAYABgBZAQAAyQU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left="420" w:leftChars="200"/>
                      <w:textAlignment w:val="auto"/>
                      <w:rPr>
                        <w:rFonts w:hint="default" w:ascii="Times New Roman" w:hAnsi="Times New Roman" w:eastAsia="宋体" w:cs="Times New Roman"/>
                        <w:sz w:val="28"/>
                        <w:szCs w:val="44"/>
                        <w:lang w:val="en-US" w:eastAsia="zh-CN"/>
                      </w:rPr>
                    </w:pPr>
                    <w:r>
                      <w:rPr>
                        <w:rFonts w:hint="default" w:ascii="Times New Roman" w:hAnsi="Times New Roman" w:cs="Times New Roman"/>
                        <w:sz w:val="28"/>
                        <w:szCs w:val="44"/>
                        <w:lang w:eastAsia="zh-CN"/>
                      </w:rPr>
                      <w:t>—</w:t>
                    </w:r>
                    <w:r>
                      <w:rPr>
                        <w:rFonts w:hint="default" w:ascii="Times New Roman" w:hAnsi="Times New Roman" w:cs="Times New Roman"/>
                        <w:sz w:val="28"/>
                        <w:szCs w:val="44"/>
                        <w:lang w:val="en-US" w:eastAsia="zh-CN"/>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2</w:t>
                    </w:r>
                    <w:r>
                      <w:rPr>
                        <w:rFonts w:hint="default" w:ascii="Times New Roman" w:hAnsi="Times New Roman" w:cs="Times New Roman"/>
                        <w:sz w:val="28"/>
                        <w:szCs w:val="44"/>
                      </w:rPr>
                      <w:fldChar w:fldCharType="end"/>
                    </w:r>
                    <w:r>
                      <w:rPr>
                        <w:rFonts w:hint="default" w:ascii="Times New Roman" w:hAnsi="Times New Roman" w:cs="Times New Roman"/>
                        <w:sz w:val="28"/>
                        <w:szCs w:val="44"/>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-142240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val="0"/>
                            <w:ind w:left="420" w:leftChars="200"/>
                            <w:textAlignment w:val="auto"/>
                            <w:rPr>
                              <w:rFonts w:hint="default" w:ascii="Times New Roman" w:hAnsi="Times New Roman" w:eastAsia="宋体" w:cs="Times New Roman"/>
                              <w:sz w:val="28"/>
                              <w:szCs w:val="44"/>
                              <w:lang w:val="en-US" w:eastAsia="zh-CN"/>
                            </w:rPr>
                          </w:pPr>
                          <w:r>
                            <w:rPr>
                              <w:rFonts w:hint="default" w:ascii="Times New Roman" w:hAnsi="Times New Roman" w:cs="Times New Roman"/>
                              <w:sz w:val="28"/>
                              <w:szCs w:val="44"/>
                              <w:lang w:eastAsia="zh-CN"/>
                            </w:rPr>
                            <w:t>—</w:t>
                          </w:r>
                          <w:r>
                            <w:rPr>
                              <w:rFonts w:hint="default" w:ascii="Times New Roman" w:hAnsi="Times New Roman" w:cs="Times New Roman"/>
                              <w:sz w:val="28"/>
                              <w:szCs w:val="44"/>
                              <w:lang w:val="en-US" w:eastAsia="zh-CN"/>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2</w:t>
                          </w:r>
                          <w:r>
                            <w:rPr>
                              <w:rFonts w:hint="default" w:ascii="Times New Roman" w:hAnsi="Times New Roman" w:cs="Times New Roman"/>
                              <w:sz w:val="28"/>
                              <w:szCs w:val="44"/>
                            </w:rPr>
                            <w:fldChar w:fldCharType="end"/>
                          </w:r>
                          <w:r>
                            <w:rPr>
                              <w:rFonts w:hint="default" w:ascii="Times New Roman" w:hAnsi="Times New Roman" w:cs="Times New Roman"/>
                              <w:sz w:val="28"/>
                              <w:szCs w:val="4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11.2pt;height:144pt;width:144pt;mso-position-horizontal-relative:margin;mso-wrap-style:none;z-index:251660288;mso-width-relative:page;mso-height-relative:page;" filled="f" stroked="f" coordsize="21600,21600" o:gfxdata="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Ji3OgTWAAAACA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left="420" w:leftChars="200"/>
                      <w:textAlignment w:val="auto"/>
                      <w:rPr>
                        <w:rFonts w:hint="default" w:ascii="Times New Roman" w:hAnsi="Times New Roman" w:eastAsia="宋体" w:cs="Times New Roman"/>
                        <w:sz w:val="28"/>
                        <w:szCs w:val="44"/>
                        <w:lang w:val="en-US" w:eastAsia="zh-CN"/>
                      </w:rPr>
                    </w:pPr>
                    <w:r>
                      <w:rPr>
                        <w:rFonts w:hint="default" w:ascii="Times New Roman" w:hAnsi="Times New Roman" w:cs="Times New Roman"/>
                        <w:sz w:val="28"/>
                        <w:szCs w:val="44"/>
                        <w:lang w:eastAsia="zh-CN"/>
                      </w:rPr>
                      <w:t>—</w:t>
                    </w:r>
                    <w:r>
                      <w:rPr>
                        <w:rFonts w:hint="default" w:ascii="Times New Roman" w:hAnsi="Times New Roman" w:cs="Times New Roman"/>
                        <w:sz w:val="28"/>
                        <w:szCs w:val="44"/>
                        <w:lang w:val="en-US" w:eastAsia="zh-CN"/>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2</w:t>
                    </w:r>
                    <w:r>
                      <w:rPr>
                        <w:rFonts w:hint="default" w:ascii="Times New Roman" w:hAnsi="Times New Roman" w:cs="Times New Roman"/>
                        <w:sz w:val="28"/>
                        <w:szCs w:val="44"/>
                      </w:rPr>
                      <w:fldChar w:fldCharType="end"/>
                    </w:r>
                    <w:r>
                      <w:rPr>
                        <w:rFonts w:hint="default" w:ascii="Times New Roman" w:hAnsi="Times New Roman" w:cs="Times New Roman"/>
                        <w:sz w:val="28"/>
                        <w:szCs w:val="44"/>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4384" behindDoc="0" locked="0" layoutInCell="1" allowOverlap="1">
              <wp:simplePos x="0" y="0"/>
              <wp:positionH relativeFrom="margin">
                <wp:posOffset>4954270</wp:posOffset>
              </wp:positionH>
              <wp:positionV relativeFrom="paragraph">
                <wp:posOffset>-142240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val="0"/>
                            <w:ind w:right="420" w:rightChars="200"/>
                            <w:textAlignment w:val="auto"/>
                            <w:rPr>
                              <w:rFonts w:hint="default" w:ascii="Times New Roman" w:hAnsi="Times New Roman" w:eastAsia="宋体" w:cs="Times New Roman"/>
                              <w:sz w:val="28"/>
                              <w:szCs w:val="44"/>
                              <w:lang w:val="en-US" w:eastAsia="zh-CN"/>
                            </w:rPr>
                          </w:pPr>
                          <w:r>
                            <w:rPr>
                              <w:rFonts w:hint="default" w:ascii="Times New Roman" w:hAnsi="Times New Roman" w:cs="Times New Roman"/>
                              <w:sz w:val="28"/>
                              <w:szCs w:val="44"/>
                              <w:lang w:eastAsia="zh-CN"/>
                            </w:rPr>
                            <w:t>—</w:t>
                          </w:r>
                          <w:r>
                            <w:rPr>
                              <w:rFonts w:hint="default" w:ascii="Times New Roman" w:hAnsi="Times New Roman" w:cs="Times New Roman"/>
                              <w:sz w:val="28"/>
                              <w:szCs w:val="44"/>
                              <w:lang w:val="en-US" w:eastAsia="zh-CN"/>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0.1pt;margin-top:-11.2pt;height:144pt;width:144pt;mso-position-horizontal-relative:margin;mso-wrap-style:none;z-index:251664384;mso-width-relative:page;mso-height-relative:page;" filled="f" stroked="f" coordsize="21600,21600" o:gfxdata="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KPGF/YAAAADAEAAA8AAAAAAAAAAQAgAAAAIgAAAGRycy9kb3ducmV2Lnht&#10;bFBLAQIUABQAAAAIAIdO4kD/W0FrMgIAAGMEAAAOAAAAAAAAAAEAIAAAACcBAABkcnMvZTJvRG9j&#10;LnhtbFBLBQYAAAAABgAGAFkBAADLBQ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right="420" w:rightChars="200"/>
                      <w:textAlignment w:val="auto"/>
                      <w:rPr>
                        <w:rFonts w:hint="default" w:ascii="Times New Roman" w:hAnsi="Times New Roman" w:eastAsia="宋体" w:cs="Times New Roman"/>
                        <w:sz w:val="28"/>
                        <w:szCs w:val="44"/>
                        <w:lang w:val="en-US" w:eastAsia="zh-CN"/>
                      </w:rPr>
                    </w:pPr>
                    <w:r>
                      <w:rPr>
                        <w:rFonts w:hint="default" w:ascii="Times New Roman" w:hAnsi="Times New Roman" w:cs="Times New Roman"/>
                        <w:sz w:val="28"/>
                        <w:szCs w:val="44"/>
                        <w:lang w:eastAsia="zh-CN"/>
                      </w:rPr>
                      <w:t>—</w:t>
                    </w:r>
                    <w:r>
                      <w:rPr>
                        <w:rFonts w:hint="default" w:ascii="Times New Roman" w:hAnsi="Times New Roman" w:cs="Times New Roman"/>
                        <w:sz w:val="28"/>
                        <w:szCs w:val="44"/>
                        <w:lang w:val="en-US" w:eastAsia="zh-CN"/>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1</w:t>
                    </w:r>
                    <w:r>
                      <w:rPr>
                        <w:rFonts w:hint="default" w:ascii="Times New Roman" w:hAnsi="Times New Roman" w:cs="Times New Roman"/>
                        <w:sz w:val="28"/>
                        <w:szCs w:val="44"/>
                      </w:rPr>
                      <w:fldChar w:fldCharType="end"/>
                    </w:r>
                    <w:r>
                      <w:rPr>
                        <w:rFonts w:hint="default" w:ascii="Times New Roman" w:hAnsi="Times New Roman" w:cs="Times New Roman"/>
                        <w:sz w:val="28"/>
                        <w:szCs w:val="44"/>
                        <w:lang w:val="en-US" w:eastAsia="zh-CN"/>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5408" behindDoc="0" locked="0" layoutInCell="1" allowOverlap="1">
              <wp:simplePos x="0" y="0"/>
              <wp:positionH relativeFrom="margin">
                <wp:posOffset>0</wp:posOffset>
              </wp:positionH>
              <wp:positionV relativeFrom="paragraph">
                <wp:posOffset>-142240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val="0"/>
                            <w:ind w:left="420" w:leftChars="200"/>
                            <w:textAlignment w:val="auto"/>
                            <w:rPr>
                              <w:rFonts w:hint="default" w:ascii="Times New Roman" w:hAnsi="Times New Roman" w:eastAsia="宋体" w:cs="Times New Roman"/>
                              <w:sz w:val="28"/>
                              <w:szCs w:val="44"/>
                              <w:lang w:val="en-US" w:eastAsia="zh-CN"/>
                            </w:rPr>
                          </w:pPr>
                          <w:r>
                            <w:rPr>
                              <w:rFonts w:hint="default" w:ascii="Times New Roman" w:hAnsi="Times New Roman" w:cs="Times New Roman"/>
                              <w:sz w:val="28"/>
                              <w:szCs w:val="44"/>
                              <w:lang w:eastAsia="zh-CN"/>
                            </w:rPr>
                            <w:t>—</w:t>
                          </w:r>
                          <w:r>
                            <w:rPr>
                              <w:rFonts w:hint="default" w:ascii="Times New Roman" w:hAnsi="Times New Roman" w:cs="Times New Roman"/>
                              <w:sz w:val="28"/>
                              <w:szCs w:val="44"/>
                              <w:lang w:val="en-US" w:eastAsia="zh-CN"/>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2</w:t>
                          </w:r>
                          <w:r>
                            <w:rPr>
                              <w:rFonts w:hint="default" w:ascii="Times New Roman" w:hAnsi="Times New Roman" w:cs="Times New Roman"/>
                              <w:sz w:val="28"/>
                              <w:szCs w:val="44"/>
                            </w:rPr>
                            <w:fldChar w:fldCharType="end"/>
                          </w:r>
                          <w:r>
                            <w:rPr>
                              <w:rFonts w:hint="default" w:ascii="Times New Roman" w:hAnsi="Times New Roman" w:cs="Times New Roman"/>
                              <w:sz w:val="28"/>
                              <w:szCs w:val="4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11.2pt;height:144pt;width:144pt;mso-position-horizontal-relative:margin;mso-wrap-style:none;z-index:251665408;mso-width-relative:page;mso-height-relative:page;" filled="f" stroked="f" coordsize="21600,21600" o:gfxdata="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YtzoE1gAAAAgBAAAPAAAAAAAAAAEAIAAAACIAAABkcnMvZG93bnJldi54bWxQ&#10;SwECFAAUAAAACACHTuJA1HeY5jICAABjBAAADgAAAAAAAAABACAAAAAlAQAAZHJzL2Uyb0RvYy54&#10;bWxQSwUGAAAAAAYABgBZAQAAyQU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val="0"/>
                      <w:ind w:left="420" w:leftChars="200"/>
                      <w:textAlignment w:val="auto"/>
                      <w:rPr>
                        <w:rFonts w:hint="default" w:ascii="Times New Roman" w:hAnsi="Times New Roman" w:eastAsia="宋体" w:cs="Times New Roman"/>
                        <w:sz w:val="28"/>
                        <w:szCs w:val="44"/>
                        <w:lang w:val="en-US" w:eastAsia="zh-CN"/>
                      </w:rPr>
                    </w:pPr>
                    <w:r>
                      <w:rPr>
                        <w:rFonts w:hint="default" w:ascii="Times New Roman" w:hAnsi="Times New Roman" w:cs="Times New Roman"/>
                        <w:sz w:val="28"/>
                        <w:szCs w:val="44"/>
                        <w:lang w:eastAsia="zh-CN"/>
                      </w:rPr>
                      <w:t>—</w:t>
                    </w:r>
                    <w:r>
                      <w:rPr>
                        <w:rFonts w:hint="default" w:ascii="Times New Roman" w:hAnsi="Times New Roman" w:cs="Times New Roman"/>
                        <w:sz w:val="28"/>
                        <w:szCs w:val="44"/>
                        <w:lang w:val="en-US" w:eastAsia="zh-CN"/>
                      </w:rPr>
                      <w:t xml:space="preserve"> </w:t>
                    </w:r>
                    <w:r>
                      <w:rPr>
                        <w:rFonts w:hint="default" w:ascii="Times New Roman" w:hAnsi="Times New Roman" w:cs="Times New Roman"/>
                        <w:sz w:val="28"/>
                        <w:szCs w:val="44"/>
                      </w:rPr>
                      <w:fldChar w:fldCharType="begin"/>
                    </w:r>
                    <w:r>
                      <w:rPr>
                        <w:rFonts w:hint="default" w:ascii="Times New Roman" w:hAnsi="Times New Roman" w:cs="Times New Roman"/>
                        <w:sz w:val="28"/>
                        <w:szCs w:val="44"/>
                      </w:rPr>
                      <w:instrText xml:space="preserve"> PAGE  \* MERGEFORMAT </w:instrText>
                    </w:r>
                    <w:r>
                      <w:rPr>
                        <w:rFonts w:hint="default" w:ascii="Times New Roman" w:hAnsi="Times New Roman" w:cs="Times New Roman"/>
                        <w:sz w:val="28"/>
                        <w:szCs w:val="44"/>
                      </w:rPr>
                      <w:fldChar w:fldCharType="separate"/>
                    </w:r>
                    <w:r>
                      <w:rPr>
                        <w:rFonts w:hint="default" w:ascii="Times New Roman" w:hAnsi="Times New Roman" w:cs="Times New Roman"/>
                        <w:sz w:val="28"/>
                        <w:szCs w:val="44"/>
                      </w:rPr>
                      <w:t>2</w:t>
                    </w:r>
                    <w:r>
                      <w:rPr>
                        <w:rFonts w:hint="default" w:ascii="Times New Roman" w:hAnsi="Times New Roman" w:cs="Times New Roman"/>
                        <w:sz w:val="28"/>
                        <w:szCs w:val="44"/>
                      </w:rPr>
                      <w:fldChar w:fldCharType="end"/>
                    </w:r>
                    <w:r>
                      <w:rPr>
                        <w:rFonts w:hint="default" w:ascii="Times New Roman" w:hAnsi="Times New Roman" w:cs="Times New Roman"/>
                        <w:sz w:val="28"/>
                        <w:szCs w:val="44"/>
                        <w:lang w:val="en-US" w:eastAsia="zh-CN"/>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4F70B"/>
    <w:multiLevelType w:val="singleLevel"/>
    <w:tmpl w:val="9CF4F70B"/>
    <w:lvl w:ilvl="0" w:tentative="0">
      <w:start w:val="2"/>
      <w:numFmt w:val="chineseCounting"/>
      <w:suff w:val="nothing"/>
      <w:lvlText w:val="%1、"/>
      <w:lvlJc w:val="left"/>
      <w:rPr>
        <w:rFonts w:hint="eastAsia"/>
      </w:rPr>
    </w:lvl>
  </w:abstractNum>
  <w:abstractNum w:abstractNumId="1">
    <w:nsid w:val="B4CA416F"/>
    <w:multiLevelType w:val="singleLevel"/>
    <w:tmpl w:val="B4CA416F"/>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evenAndOddHeaders w:val="1"/>
  <w:drawingGridVerticalSpacing w:val="161"/>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5A2E49"/>
    <w:rsid w:val="008D3063"/>
    <w:rsid w:val="0BCE47DB"/>
    <w:rsid w:val="114D326F"/>
    <w:rsid w:val="11C6289D"/>
    <w:rsid w:val="144B0B8A"/>
    <w:rsid w:val="153E3D67"/>
    <w:rsid w:val="200C682C"/>
    <w:rsid w:val="22726965"/>
    <w:rsid w:val="252B271A"/>
    <w:rsid w:val="2D982340"/>
    <w:rsid w:val="318B4632"/>
    <w:rsid w:val="36BD070F"/>
    <w:rsid w:val="3728798F"/>
    <w:rsid w:val="39D6555D"/>
    <w:rsid w:val="3AF27515"/>
    <w:rsid w:val="3F6F1EA1"/>
    <w:rsid w:val="3F9553E6"/>
    <w:rsid w:val="4B4F2D79"/>
    <w:rsid w:val="4EE35CE2"/>
    <w:rsid w:val="59730D59"/>
    <w:rsid w:val="5B5114FA"/>
    <w:rsid w:val="5F4630DC"/>
    <w:rsid w:val="645A2E49"/>
    <w:rsid w:val="657E587A"/>
    <w:rsid w:val="66F24E80"/>
    <w:rsid w:val="676566FE"/>
    <w:rsid w:val="67DD13F6"/>
    <w:rsid w:val="6B832AD4"/>
    <w:rsid w:val="6FBB01D5"/>
    <w:rsid w:val="78731DEC"/>
    <w:rsid w:val="7B516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Angsana New"/>
      <w:kern w:val="2"/>
      <w:sz w:val="21"/>
      <w:szCs w:val="24"/>
      <w:lang w:val="en-US" w:eastAsia="zh-CN" w:bidi="th-TH"/>
    </w:rPr>
  </w:style>
  <w:style w:type="paragraph" w:styleId="3">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lang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unhideWhenUsed/>
    <w:qFormat/>
    <w:uiPriority w:val="99"/>
    <w:pPr>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2021-06-30T07:35:00Z</dcterms:created>
  <dc:creator>HP</dc:creator>
  <cp:lastModifiedBy>墨້໌ᮩ染ꦿ᭄</cp:lastModifiedBy>
  <cp:lastPrinted>2021-08-13T09:34:46Z</cp:lastPrinted>
  <dcterms:modified xsi:type="dcterms:W3CDTF">2021-08-13T09:35:20Z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4557B9DAC4A54850B64C204C0F8EE1A9</vt:lpwstr>
  </property>
</Properties>
</file>